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3.png" ContentType="image/png"/>
  <Override PartName="/word/media/rId32.png" ContentType="image/png"/>
  <Override PartName="/word/media/rId59.png" ContentType="image/png"/>
  <Override PartName="/word/media/rId43.png" ContentType="image/png"/>
  <Override PartName="/word/media/rId3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Base-Flow Index in Arid Landscapes Using Machine Learning and Instrumented Records</w:t>
      </w:r>
    </w:p>
    <w:p>
      <w:pPr>
        <w:pStyle w:val="Author"/>
      </w:pPr>
      <w:r>
        <w:t xml:space="preserve">Caelum Mroczek</w:t>
      </w:r>
    </w:p>
    <w:p>
      <w:pPr>
        <w:pStyle w:val="Author"/>
      </w:pPr>
      <w:r>
        <w:t xml:space="preserve">Abraham E Springer</w:t>
      </w:r>
    </w:p>
    <w:p>
      <w:pPr>
        <w:pStyle w:val="Author"/>
      </w:pPr>
      <w:r>
        <w:t xml:space="preserve">Neha Gupta</w:t>
      </w:r>
    </w:p>
    <w:p>
      <w:pPr>
        <w:pStyle w:val="Author"/>
      </w:pPr>
      <w:r>
        <w:t xml:space="preserve">Temuulen Sankey</w:t>
      </w:r>
    </w:p>
    <w:p>
      <w:pPr>
        <w:pStyle w:val="Author"/>
      </w:pPr>
      <w:r>
        <w:t xml:space="preserve">Benjamin Lucas</w:t>
      </w:r>
    </w:p>
    <w:p>
      <w:pPr>
        <w:pStyle w:val="AbstractTitle"/>
      </w:pPr>
      <w:r>
        <w:t xml:space="preserve">Abstract</w:t>
      </w:r>
    </w:p>
    <w:p>
      <w:pPr>
        <w:pStyle w:val="Abstract"/>
      </w:pPr>
      <w:r>
        <w:t xml:space="preserve">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key-points"/>
    <w:p>
      <w:pPr>
        <w:pStyle w:val="Heading3"/>
      </w:pPr>
      <w:r>
        <w:t xml:space="preserve">Key Points</w:t>
      </w:r>
    </w:p>
    <w:p>
      <w:pPr>
        <w:pStyle w:val="Compact"/>
        <w:numPr>
          <w:ilvl w:val="0"/>
          <w:numId w:val="1001"/>
        </w:numPr>
      </w:pPr>
      <w:r>
        <w:t xml:space="preserve">Approximately 32% of Arizona’s streamflow originates from groundwater discharge.</w:t>
      </w:r>
    </w:p>
    <w:p>
      <w:pPr>
        <w:pStyle w:val="Compact"/>
        <w:numPr>
          <w:ilvl w:val="0"/>
          <w:numId w:val="1001"/>
        </w:numPr>
      </w:pPr>
      <w:r>
        <w:t xml:space="preserve">XGBoost predicted long-term BFI in ungauged basins, filling dryland data gaps.</w:t>
      </w:r>
    </w:p>
    <w:p>
      <w:pPr>
        <w:pStyle w:val="Compact"/>
        <w:numPr>
          <w:ilvl w:val="0"/>
          <w:numId w:val="1001"/>
        </w:numPr>
      </w:pPr>
      <w:r>
        <w:t xml:space="preserve">Baseflow trends track precipitation, emphasizing climate’s role in dryland hydrology.</w:t>
      </w:r>
    </w:p>
    <w:bookmarkEnd w:id="20"/>
    <w:bookmarkStart w:id="21" w:name="sec-intro"/>
    <w:p>
      <w:pPr>
        <w:pStyle w:val="Heading2"/>
      </w:pPr>
      <w:r>
        <w:t xml:space="preserve">Introduction</w:t>
      </w:r>
    </w:p>
    <w:p>
      <w:pPr>
        <w:pStyle w:val="FirstParagraph"/>
      </w:pPr>
      <w:r>
        <w:t xml:space="preserve">Dryland regions, encompassing arid, semi-arid, hyper-arid, and dry sub-humid systems, cover 40% of the Earth’s land surface. These regions are home to approximately 2 billion people globally and constitute the largest terrestrial biome</w:t>
      </w:r>
      <w:r>
        <w:t xml:space="preserve"> </w:t>
      </w:r>
      <w:r>
        <w:t xml:space="preserve">(IUCN 2019)</w:t>
      </w:r>
      <w:r>
        <w:t xml:space="preserve">. Despite supporting diverse ecosystems and human populations, dryland regions face mounting hydrologic challenges exacerbated by increasing urbanization, expanding agricultural activities, and climate-induced amplification of precipitation patterns</w:t>
      </w:r>
      <w:r>
        <w:t xml:space="preserve"> </w:t>
      </w:r>
      <w:r>
        <w:t xml:space="preserve">(Taylor et al. 2013)</w:t>
      </w:r>
      <w:r>
        <w:t xml:space="preserve">. This water scarcity is intensifying due to the compounding effects of climate variability and increased groundwater extraction</w:t>
      </w:r>
      <w:r>
        <w:t xml:space="preserve"> </w:t>
      </w:r>
      <w:r>
        <w:t xml:space="preserve">(Taylor et al. 2013)</w:t>
      </w:r>
      <w:r>
        <w:t xml:space="preserve">. Groundwater serves as a vital resource in drylands for sustaining ecological functions and supporting human livelihoods</w:t>
      </w:r>
      <w:r>
        <w:t xml:space="preserve"> </w:t>
      </w:r>
      <w:r>
        <w:t xml:space="preserve">(Scanlon et al. 2006; Yao et al. 2018)</w:t>
      </w:r>
      <w:r>
        <w:t xml:space="preserve">.</w:t>
      </w:r>
    </w:p>
    <w:p>
      <w:pPr>
        <w:pStyle w:val="BodyText"/>
      </w:pPr>
      <w:r>
        <w:t xml:space="preserve">Base flow is the sustained portion of streamflow in the absence of runoff that is derived from groundwater discharge</w:t>
      </w:r>
      <w:r>
        <w:t xml:space="preserve"> </w:t>
      </w:r>
      <w:r>
        <w:t xml:space="preserve">(USGS 2018)</w:t>
      </w:r>
      <w:r>
        <w:t xml:space="preserve">. Base flow is critical to maintaining seasonal low-flow regimes, supporting aquatic ecosystems, and facilitating the transport of nutrients and chemicals. Base-flow contribution to streamflow can be highly variable spatially</w:t>
      </w:r>
      <w:r>
        <w:t xml:space="preserve"> </w:t>
      </w:r>
      <w:r>
        <w:t xml:space="preserve">(Singh et al. 2018; Bosch et al. 2017; Beck et al. 2013)</w:t>
      </w:r>
      <w:r>
        <w:t xml:space="preserve">, and temporally</w:t>
      </w:r>
      <w:r>
        <w:t xml:space="preserve"> </w:t>
      </w:r>
      <w:r>
        <w:t xml:space="preserve">(Ficklin et al. 2016; Tan et al. 2020)</w:t>
      </w:r>
      <w:r>
        <w:t xml:space="preserve">. Increasing groundwater extraction, changes in land cover/land use, and changes in precipitation patterns due to climate change affect the timing and volumes of base flow</w:t>
      </w:r>
      <w:r>
        <w:t xml:space="preserve"> </w:t>
      </w:r>
      <w:r>
        <w:t xml:space="preserve">(Tan et al. 2020; Taylor et al. 2013)</w:t>
      </w:r>
      <w:r>
        <w:t xml:space="preserve">. Effective management of water quantity and quality depends on understanding seasonal and interannual base-flow patterns and long-term changes in base-flow behavior.</w:t>
      </w:r>
    </w:p>
    <w:p>
      <w:pPr>
        <w:pStyle w:val="BodyText"/>
      </w:pPr>
      <w:r>
        <w:t xml:space="preserve">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w:t>
      </w:r>
      <w:r>
        <w:t xml:space="preserve"> </w:t>
      </w:r>
      <w:r>
        <w:t xml:space="preserve">(Neff et al. 2005; Beck et al. 2013; Singh et al. 2018)</w:t>
      </w:r>
      <w:r>
        <w:t xml:space="preserve">. Between catchments, base flow fluctuates according to changes in the moisture content of the vadose zone, influenced by varying levels of evapotranspiration and aquifer storage dynamics</w:t>
      </w:r>
      <w:r>
        <w:t xml:space="preserve"> </w:t>
      </w:r>
      <w:r>
        <w:t xml:space="preserve">(Bosch et al. 2017)</w:t>
      </w:r>
      <w:r>
        <w:t xml:space="preserve">. Since BFI calculations rely on instrumented stream records, it remains unknown for ungauged catchments, which encompass most of the earth’s land surface</w:t>
      </w:r>
      <w:r>
        <w:t xml:space="preserve"> </w:t>
      </w:r>
      <w:r>
        <w:t xml:space="preserve">(Fekete et al. 2007)</w:t>
      </w:r>
      <w:r>
        <w:t xml:space="preserve">.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pPr>
        <w:pStyle w:val="BodyText"/>
      </w:pPr>
      <w:r>
        <w:t xml:space="preserve">Advancements in machine learning provide tools to predict hydrologic indices in ungauged basins, addressing the limitations of sparse streamgage networks. To tackle the challenge of quantifying base-flow indices in ungauged catchments, numerous studies have applied both regression and machine learning methods.</w:t>
      </w:r>
      <w:r>
        <w:t xml:space="preserve"> </w:t>
      </w:r>
      <w:r>
        <w:t xml:space="preserve">Ahiablame et al. (2013)</w:t>
      </w:r>
      <w:r>
        <w:t xml:space="preserve"> </w:t>
      </w:r>
      <w:r>
        <w:t xml:space="preserve">found that using a regression model to estimate annual base flow of ungauged catchments was reasonably easy and accurate.</w:t>
      </w:r>
      <w:r>
        <w:t xml:space="preserve"> </w:t>
      </w:r>
      <w:r>
        <w:t xml:space="preserve">Beck et al. (2013)</w:t>
      </w:r>
      <w:r>
        <w:t xml:space="preserve"> </w:t>
      </w:r>
      <w:r>
        <w:t xml:space="preserve">overcame the nonlinearity of basin characteristics and improved results of multivariate analyses by using artificial neural networks (ANN) to estimate BFI globally.</w:t>
      </w:r>
      <w:r>
        <w:t xml:space="preserve"> </w:t>
      </w:r>
      <w:r>
        <w:t xml:space="preserve">Singh et al. (2018)</w:t>
      </w:r>
      <w:r>
        <w:t xml:space="preserve"> </w:t>
      </w:r>
      <w:r>
        <w:t xml:space="preserve">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pPr>
        <w:pStyle w:val="BodyText"/>
      </w:pPr>
      <w:r>
        <w:t xml:space="preserve">Previous studies have examined base-flow regionalization and synthesis across various spatial scales, from global to continental</w:t>
      </w:r>
      <w:r>
        <w:t xml:space="preserve"> </w:t>
      </w:r>
      <w:r>
        <w:t xml:space="preserve">(Beck et al. 2013; Santhi et al. 2008; Ayers et al. 2022; Singh et al. 2018)</w:t>
      </w:r>
      <w:r>
        <w:t xml:space="preserve">.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w:t>
      </w:r>
      <w:r>
        <w:t xml:space="preserve"> </w:t>
      </w:r>
      <w:r>
        <w:t xml:space="preserve">(Krabbenhoft et al. 2022)</w:t>
      </w:r>
      <w:r>
        <w:t xml:space="preserve">. Thus, their effectiveness in accurately capturing groundwater-surface water interactions, particularly in critically water-stressed dryland regions, remains constrained.</w:t>
      </w:r>
    </w:p>
    <w:p>
      <w:pPr>
        <w:pStyle w:val="BodyText"/>
      </w:pPr>
      <w: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hydroclimate predictors. To our knowledge, this is the first map of spatially distributed BFI in Arizona. In parallel, we assess trends in BFI at instrumented sites alongside coincident changes in precipitation, temperature, and reference evapotranspiration. Together, these analyses provide new insight into the spatial patterns and temporal dynamics of baseflow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bookmarkEnd w:id="21"/>
    <w:bookmarkStart w:id="38" w:name="sec-methods"/>
    <w:p>
      <w:pPr>
        <w:pStyle w:val="Heading2"/>
      </w:pPr>
      <w:r>
        <w:t xml:space="preserve">Methods</w:t>
      </w:r>
    </w:p>
    <w:bookmarkStart w:id="26" w:name="sec-study-area"/>
    <w:p>
      <w:pPr>
        <w:pStyle w:val="Heading3"/>
      </w:pPr>
      <w:r>
        <w:t xml:space="preserve">Study Area</w:t>
      </w:r>
    </w:p>
    <w:p>
      <w:pPr>
        <w:pStyle w:val="FirstParagraph"/>
      </w:pPr>
      <w: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w:t>
      </w:r>
      <w:r>
        <w:t xml:space="preserve"> </w:t>
      </w:r>
      <w:r>
        <w:t xml:space="preserve">(Arizona State Climate Office 2024)</w:t>
      </w:r>
      <w:r>
        <w:t xml:space="preserve">. The Central Highlands feature a mix of mountainous terrain and interspersed basins, adding to the state’s topographic and hydroclimatic complexity.</w:t>
      </w:r>
    </w:p>
    <w:tbl>
      <w:tblPr>
        <w:tblStyle w:val="Table"/>
        <w:tblW w:type="pct" w:w="5000"/>
        <w:tblLayout w:type="fixed"/>
        <w:tblLook w:firstRow="0" w:lastRow="0" w:firstColumn="0" w:lastColumn="0" w:noHBand="0" w:noVBand="0" w:val="0000"/>
      </w:tblPr>
      <w:tblGrid>
        <w:gridCol w:w="7920"/>
      </w:tblGrid>
      <w:tr>
        <w:tc>
          <w:tcPr/>
          <w:bookmarkStart w:id="25" w:name="fig-study-area"/>
          <w:p>
            <w:pPr>
              <w:pStyle w:val="Compact"/>
              <w:jc w:val="center"/>
            </w:pPr>
            <w:r>
              <w:drawing>
                <wp:inline>
                  <wp:extent cx="5334000" cy="4413171"/>
                  <wp:effectExtent b="0" l="0" r="0" t="0"/>
                  <wp:docPr descr="" title="" id="23" name="Picture"/>
                  <a:graphic>
                    <a:graphicData uri="http://schemas.openxmlformats.org/drawingml/2006/picture">
                      <pic:pic>
                        <pic:nvPicPr>
                          <pic:cNvPr descr="images/updated/StudyArea_20250404.png" id="24" name="Picture"/>
                          <pic:cNvPicPr>
                            <a:picLocks noChangeArrowheads="1" noChangeAspect="1"/>
                          </pic:cNvPicPr>
                        </pic:nvPicPr>
                        <pic:blipFill>
                          <a:blip r:embed="rId22"/>
                          <a:stretch>
                            <a:fillRect/>
                          </a:stretch>
                        </pic:blipFill>
                        <pic:spPr bwMode="auto">
                          <a:xfrm>
                            <a:off x="0" y="0"/>
                            <a:ext cx="5334000" cy="44131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Arizona and US Geological Survey (USGS) streamgages used in this study. 8-digit HUC subbasin boundaries and physiographic regions shown.</w:t>
            </w:r>
          </w:p>
          <w:bookmarkEnd w:id="25"/>
        </w:tc>
      </w:tr>
    </w:tbl>
    <w:p>
      <w:pPr>
        <w:pStyle w:val="BodyText"/>
      </w:pPr>
      <w:r>
        <w:t xml:space="preserve">Arizona’s hydrology varies seasonally and spatially between its physiographic regions. In summer, localized and intense convective storms stem from the North American Monsoon; in winter, orographic precipitation is delivered by Pacific frontal systems</w:t>
      </w:r>
      <w:r>
        <w:t xml:space="preserve"> </w:t>
      </w:r>
      <w:r>
        <w:t xml:space="preserve">(Eastoe et al. 2019)</w:t>
      </w:r>
      <w:r>
        <w:t xml:space="preserve">. While monsoonal precipitation can account for up to 50% of annual precipitation, evaporation and dry preceding soil properties leads to most precipitation becoming runoff</w:t>
      </w:r>
      <w:r>
        <w:t xml:space="preserve"> </w:t>
      </w:r>
      <w:r>
        <w:t xml:space="preserve">(Sheppard et al. 2002)</w:t>
      </w:r>
      <w:r>
        <w:t xml:space="preserve">. As such, 94% of streams in Arizona are ephemeral or intermittent</w:t>
      </w:r>
      <w:r>
        <w:t xml:space="preserve"> </w:t>
      </w:r>
      <w:r>
        <w:t xml:space="preserve">(Levick et al. 2008)</w:t>
      </w:r>
      <w:r>
        <w:t xml:space="preserve">. Much of the hydrology of Arizona is snow-melt derived, driven by spring melt from the high-elevation Colorado Plateau winter snowpack. Though winter precipitation accounts for only 30% of annual precipitation totals, it provides the majority of water for natural reservoirs</w:t>
      </w:r>
      <w:r>
        <w:t xml:space="preserve"> </w:t>
      </w:r>
      <w:r>
        <w:t xml:space="preserve">(Sheppard et al. 2002)</w:t>
      </w:r>
      <w:r>
        <w:t xml:space="preserve">.</w:t>
      </w:r>
    </w:p>
    <w:bookmarkEnd w:id="26"/>
    <w:bookmarkStart w:id="28" w:name="sec-data"/>
    <w:p>
      <w:pPr>
        <w:pStyle w:val="Heading3"/>
      </w:pPr>
      <w:r>
        <w:t xml:space="preserve">Data</w:t>
      </w:r>
    </w:p>
    <w:p>
      <w:pPr>
        <w:pStyle w:val="FirstParagraph"/>
      </w:pPr>
      <w:r>
        <w:t xml:space="preserve">Daily observed streamflow data obtained from the United States Geological Survey (USGS) National Water Information System (NWIS) were used in this study. Streamgages were selected depending on criteria to ensure the applicability of each site. Following the findings of</w:t>
      </w:r>
      <w:r>
        <w:t xml:space="preserve"> </w:t>
      </w:r>
      <w:r>
        <w:t xml:space="preserve">O’Donnell et al. (2016)</w:t>
      </w:r>
      <w:r>
        <w:t xml:space="preserve">,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Streamgages directly downstream of major regulation (e.g., reservoirs, lakes, diversions) were excluded, based on USGS annual water data reports and site metadata</w:t>
      </w:r>
      <w:r>
        <w:t xml:space="preserve"> </w:t>
      </w:r>
      <w:r>
        <w:t xml:space="preserve">(USGS 2010)</w:t>
      </w:r>
      <w:r>
        <w:t xml:space="preserve">. While some flow alteration is widespread, the focus was on removing gauges with clear, immediate regulatory impacts. As such,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Pr>
            <w:rStyle w:val="Hyperlink"/>
          </w:rPr>
          <w:t xml:space="preserve">Figure 1</w:t>
        </w:r>
      </w:hyperlink>
      <w:r>
        <w:t xml:space="preserve">). Periods of record ranged from 10 to 112 years, with a median of 28 years.</w:t>
      </w:r>
    </w:p>
    <w:p>
      <w:pPr>
        <w:pStyle w:val="BodyText"/>
      </w:pPr>
      <w: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w:t>
      </w:r>
      <w:r>
        <w:t xml:space="preserve"> </w:t>
      </w:r>
      <w:r>
        <w:t xml:space="preserve">(Krabbenhoft et al. 2022)</w:t>
      </w:r>
      <w:r>
        <w:t xml:space="preserve">, underscoring the necessity and relevance of this type of modeling approach in arid and semi-arid environments.</w:t>
      </w:r>
    </w:p>
    <w:p>
      <w:pPr>
        <w:pStyle w:val="BodyText"/>
      </w:pPr>
      <w:r>
        <w:t xml:space="preserve">Watersheds across the United States are delineated by the USGS using a hydrologically-defined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Pr>
            <w:rStyle w:val="Hyperlink"/>
          </w:rPr>
          <w:t xml:space="preserve">Figure 1</w:t>
        </w:r>
      </w:hyperlink>
      <w:r>
        <w:t xml:space="preserve">). These HUC 8 sub-basins are analogous to medium-sized river basins and are defined by surface water characteristics.</w:t>
      </w:r>
    </w:p>
    <w:p>
      <w:pPr>
        <w:pStyle w:val="BodyText"/>
      </w:pPr>
      <w:r>
        <w:t xml:space="preserve">Annual precipitation and temperature data came from the PRISM climate group at Oregon State University at a resolution of 4 km (</w:t>
      </w:r>
      <w:hyperlink r:id="rId27">
        <w:r>
          <w:rPr>
            <w:rStyle w:val="Hyperlink"/>
          </w:rPr>
          <w:t xml:space="preserve">https://prism.oregonstate.edu;</w:t>
        </w:r>
      </w:hyperlink>
      <w:r>
        <w:t xml:space="preserve"> </w:t>
      </w:r>
      <w:r>
        <w:t xml:space="preserve">(Daly et al. 2008)</w:t>
      </w:r>
      <w:r>
        <w:t xml:space="preserve">). The PRISM dataset provides valuable insights into regional climate in ungauged regions and has been shown to perform well across the southwestern US</w:t>
      </w:r>
      <w:r>
        <w:t xml:space="preserve"> </w:t>
      </w:r>
      <w:r>
        <w:t xml:space="preserve">(Buban et al. 2020)</w:t>
      </w:r>
      <w:r>
        <w:t xml:space="preserve">. Instead of the water year, PRISM data uses a calendar-year format, which was adopted for consistency in the water balance. Although this may introduce challenges in the annual estimates due to inter-annual snow storage, the use of long-term annual averages reduces potential errors</w:t>
      </w:r>
      <w:r>
        <w:t xml:space="preserve"> </w:t>
      </w:r>
      <w:r>
        <w:t xml:space="preserve">(Reitz et al. 2017)</w:t>
      </w:r>
      <w:r>
        <w:t xml:space="preserve">.</w:t>
      </w:r>
    </w:p>
    <w:p>
      <w:pPr>
        <w:pStyle w:val="BodyText"/>
      </w:pPr>
      <w:r>
        <w:t xml:space="preserve">Annual reference evapotranspiration (ET</w:t>
      </w:r>
      <w:r>
        <w:rPr>
          <w:vertAlign w:val="subscript"/>
        </w:rPr>
        <w:t xml:space="preserve">O</w:t>
      </w:r>
      <w:r>
        <w:t xml:space="preserve">) data came from TerraClimate, a 4-km grid climatological data set</w:t>
      </w:r>
      <w:r>
        <w:t xml:space="preserve"> </w:t>
      </w:r>
      <w:r>
        <w:t xml:space="preserve">(Abatzoglou et al. 2018)</w:t>
      </w:r>
      <w:r>
        <w:t xml:space="preserve">. TerraClimate uses a Penman-Monteith approach to generate a reference evapotranspiration. The ET</w:t>
      </w:r>
      <w:r>
        <w:rPr>
          <w:vertAlign w:val="subscript"/>
        </w:rPr>
        <w:t xml:space="preserve">O</w:t>
      </w:r>
      <w:r>
        <w:t xml:space="preserve"> </w:t>
      </w:r>
      <w:r>
        <w:t xml:space="preserve">values were calculated assuming a reference grass surface across the landscape with unlimited water. In the drylands of the southwestern US, ET</w:t>
      </w:r>
      <w:r>
        <w:rPr>
          <w:vertAlign w:val="subscript"/>
        </w:rPr>
        <w:t xml:space="preserve">O</w:t>
      </w:r>
      <w:r>
        <w:t xml:space="preserve"> </w:t>
      </w:r>
      <w:r>
        <w:t xml:space="preserve">typically exceeds precipitation annually</w:t>
      </w:r>
      <w:r>
        <w:t xml:space="preserve"> </w:t>
      </w:r>
      <w:r>
        <w:t xml:space="preserve">(Zomer et al. 2022)</w:t>
      </w:r>
      <w:r>
        <w:t xml:space="preserve">.</w:t>
      </w:r>
    </w:p>
    <w:p>
      <w:pPr>
        <w:pStyle w:val="BodyText"/>
      </w:pPr>
      <w:r>
        <w:t xml:space="preserve">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bookmarkEnd w:id="28"/>
    <w:bookmarkStart w:id="30" w:name="sec-bf_sep"/>
    <w:p>
      <w:pPr>
        <w:pStyle w:val="Heading3"/>
      </w:pPr>
      <w:r>
        <w:t xml:space="preserve">Base-flow separation</w:t>
      </w:r>
    </w:p>
    <w:p>
      <w:pPr>
        <w:pStyle w:val="FirstParagraph"/>
      </w:pPr>
      <w:r>
        <w:t xml:space="preserve">Directly measuring base flow and base-flow index (BFI) presents unique challenges</w:t>
      </w:r>
      <w:r>
        <w:t xml:space="preserve"> </w:t>
      </w:r>
      <w:r>
        <w:t xml:space="preserve">(Eckhardt 2008)</w:t>
      </w:r>
      <w:r>
        <w:t xml:space="preserve">.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w:t>
      </w:r>
      <w:r>
        <w:t xml:space="preserve"> </w:t>
      </w:r>
      <w:r>
        <w:t xml:space="preserve">(Beck et al. 2013)</w:t>
      </w:r>
      <w:r>
        <w:t xml:space="preserve">. A variety of techniques have been developed to estimate base flow, including tracer studies</w:t>
      </w:r>
      <w:r>
        <w:t xml:space="preserve"> </w:t>
      </w:r>
      <w:r>
        <w:t xml:space="preserve">(Gonzales et al. 2009)</w:t>
      </w:r>
      <w:r>
        <w:t xml:space="preserve">, graphical interpolation methods</w:t>
      </w:r>
      <w:r>
        <w:t xml:space="preserve"> </w:t>
      </w:r>
      <w:r>
        <w:t xml:space="preserve">(Hydrology 1980; Sloto et al. 1996)</w:t>
      </w:r>
      <w:r>
        <w:t xml:space="preserve">, and digital filters</w:t>
      </w:r>
      <w:r>
        <w:t xml:space="preserve"> </w:t>
      </w:r>
      <w:r>
        <w:t xml:space="preserve">(Arnold et al. 1995; Eckhardt 2005; Lyne et al. 1979; Nathan et al. 1990)</w:t>
      </w:r>
      <w:r>
        <w:t xml:space="preserve">.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w:t>
      </w:r>
      <w:r>
        <w:t xml:space="preserve"> </w:t>
      </w:r>
      <w:r>
        <w:t xml:space="preserve">(Chapman 1999; Eckhardt 2005; Hydrology 1980; Ayers et al. 2022)</w:t>
      </w:r>
      <w:r>
        <w:t xml:space="preserve">. Numerous studies have compared these separation techniques</w:t>
      </w:r>
      <w:r>
        <w:t xml:space="preserve"> </w:t>
      </w:r>
      <w:r>
        <w:t xml:space="preserve">(e.g., Eckhardt 2005, 2008; Nathan et al. 1990)</w:t>
      </w:r>
      <w:r>
        <w:t xml:space="preserve">; however, this study does not evaluate the relative performance of different methods.</w:t>
      </w:r>
    </w:p>
    <w:p>
      <w:pPr>
        <w:pStyle w:val="BodyText"/>
      </w:pPr>
      <w:r>
        <w:t xml:space="preserve">Base flow was calculated using a single-parameter, recursive digital filter technique from</w:t>
      </w:r>
      <w:r>
        <w:t xml:space="preserve"> </w:t>
      </w:r>
      <w:r>
        <w:t xml:space="preserve">Nathan et al. (1990)</w:t>
      </w:r>
      <w:r>
        <w:t xml:space="preserve">. This base-flow separation technique is based on a recursive digital filter used in signal analysis that separates high-frequency signals (quickflow) from low-frequency signals (base flow)</w:t>
      </w:r>
      <w:r>
        <w:t xml:space="preserve"> </w:t>
      </w:r>
      <w:r>
        <w:t xml:space="preserve">(Lyne et al. 1979)</w:t>
      </w:r>
      <w:r>
        <w:t xml:space="preserve">.</w:t>
      </w:r>
      <w:r>
        <w:t xml:space="preserve"> </w:t>
      </w:r>
      <w:r>
        <w:t xml:space="preserve">Eckhardt (2023)</w:t>
      </w:r>
      <w:r>
        <w:t xml:space="preserve"> </w:t>
      </w:r>
      <w:r>
        <w:t xml:space="preserve">noted that recursive digital filters lack a physical basis, but as the method is easy to automate, objective, and repeatable, it is appropriate for a regional-scale study. The Lyne-Hollick filter has been used in multiple studies</w:t>
      </w:r>
      <w:r>
        <w:t xml:space="preserve"> </w:t>
      </w:r>
      <w:r>
        <w:t xml:space="preserve">(Arnold et al. 2000; Santhi et al. 2008; Bloomfield et al. 2009; Singh et al. 2018)</w:t>
      </w:r>
      <w:r>
        <w:t xml:space="preserve">, and it takes the form of</w:t>
      </w:r>
    </w:p>
    <w:p>
      <w:pPr>
        <w:pStyle w:val="BodyText"/>
      </w:pPr>
      <w:bookmarkStart w:id="29" w:name="eq-bf-separate"/>
      <m:oMathPara>
        <m:oMathParaPr>
          <m:jc m:val="center"/>
        </m:oMathParaPr>
        <m:oMath>
          <m:r>
            <m:t>b</m:t>
          </m:r>
          <m:r>
            <m:rPr>
              <m:sty m:val="p"/>
            </m:rPr>
            <m:t>=</m:t>
          </m:r>
          <m:r>
            <m:t>α</m:t>
          </m:r>
          <m:sSub>
            <m:e>
              <m:r>
                <m:t>b</m:t>
              </m:r>
            </m:e>
            <m:sub>
              <m:r>
                <m:t>k</m:t>
              </m:r>
              <m:r>
                <m:rPr>
                  <m:sty m:val="p"/>
                </m:rPr>
                <m:t>−</m:t>
              </m:r>
              <m:r>
                <m:t>1</m:t>
              </m:r>
            </m:sub>
          </m:sSub>
          <m:r>
            <m:rPr>
              <m:sty m:val="p"/>
            </m:rPr>
            <m:t>+</m:t>
          </m:r>
          <m:f>
            <m:fPr>
              <m:type m:val="bar"/>
            </m:fPr>
            <m:num>
              <m:r>
                <m:t>1</m:t>
              </m:r>
              <m:r>
                <m:rPr>
                  <m:sty m:val="p"/>
                </m:rPr>
                <m:t>−</m:t>
              </m:r>
              <m:r>
                <m:t>α</m:t>
              </m:r>
            </m:num>
            <m:den>
              <m:r>
                <m:t>2</m:t>
              </m:r>
            </m:den>
          </m:f>
          <m:d>
            <m:dPr>
              <m:begChr m:val="("/>
              <m:sepChr m:val=""/>
              <m:endChr m:val=")"/>
              <m:grow/>
            </m:dPr>
            <m:e>
              <m:sSub>
                <m:e>
                  <m:r>
                    <m:t>Q</m:t>
                  </m:r>
                </m:e>
                <m:sub>
                  <m:r>
                    <m:t>k</m:t>
                  </m:r>
                </m:sub>
              </m:sSub>
              <m:r>
                <m:rPr>
                  <m:sty m:val="p"/>
                </m:rPr>
                <m:t>+</m:t>
              </m:r>
              <m:sSub>
                <m:e>
                  <m:r>
                    <m:t>Q</m:t>
                  </m:r>
                </m:e>
                <m:sub>
                  <m:r>
                    <m:t>k</m:t>
                  </m:r>
                  <m:r>
                    <m:rPr>
                      <m:sty m:val="p"/>
                    </m:rPr>
                    <m:t>−</m:t>
                  </m:r>
                  <m:r>
                    <m:t>1</m:t>
                  </m:r>
                </m:sub>
              </m:sSub>
            </m:e>
          </m:d>
          <m:r>
            <m:t>  </m:t>
          </m:r>
          <m:d>
            <m:dPr>
              <m:begChr m:val="("/>
              <m:sepChr m:val=""/>
              <m:endChr m:val=")"/>
              <m:grow/>
            </m:dPr>
            <m:e>
              <m:r>
                <m:t>1</m:t>
              </m:r>
            </m:e>
          </m:d>
        </m:oMath>
      </m:oMathPara>
      <w:bookmarkEnd w:id="29"/>
    </w:p>
    <w:p>
      <w:pPr>
        <w:pStyle w:val="FirstParagraph"/>
      </w:pPr>
      <w:r>
        <w:t xml:space="preserve">where</w:t>
      </w:r>
      <w:r>
        <w:t xml:space="preserve"> </w:t>
      </w:r>
      <m:oMath>
        <m:r>
          <m:t>b</m:t>
        </m:r>
      </m:oMath>
      <w:r>
        <w:t xml:space="preserve"> </w:t>
      </w:r>
      <w:r>
        <w:t xml:space="preserve">is base flow,</w:t>
      </w:r>
      <w:r>
        <w:t xml:space="preserve"> </w:t>
      </w:r>
      <m:oMath>
        <m:r>
          <m:t>α</m:t>
        </m:r>
      </m:oMath>
      <w:r>
        <w:t xml:space="preserve"> </w:t>
      </w:r>
      <w:r>
        <w:t xml:space="preserve">is the filter parameter,</w:t>
      </w:r>
      <w:r>
        <w:t xml:space="preserve"> </w:t>
      </w:r>
      <m:oMath>
        <m:r>
          <m:t>Q</m:t>
        </m:r>
      </m:oMath>
      <w:r>
        <w:t xml:space="preserve"> </w:t>
      </w:r>
      <w:r>
        <w:t xml:space="preserve">is the total streamflow, and</w:t>
      </w:r>
      <w:r>
        <w:t xml:space="preserve"> </w:t>
      </w:r>
      <m:oMath>
        <m:r>
          <m:t>k</m:t>
        </m:r>
      </m:oMath>
      <w:r>
        <w:t xml:space="preserve"> </w:t>
      </w:r>
      <w:r>
        <w:t xml:space="preserve">is the time step. A filter parameter</w:t>
      </w:r>
      <w:r>
        <w:t xml:space="preserve"> </w:t>
      </w:r>
      <m:oMath>
        <m:r>
          <m:t>α</m:t>
        </m:r>
      </m:oMath>
      <w:r>
        <w:t xml:space="preserve"> </w:t>
      </w:r>
      <w:r>
        <w:t xml:space="preserve">of 0.925 was used as in</w:t>
      </w:r>
      <w:r>
        <w:t xml:space="preserve"> </w:t>
      </w:r>
      <w:r>
        <w:t xml:space="preserve">Nathan et al. (1990)</w:t>
      </w:r>
      <w:r>
        <w:t xml:space="preserve"> </w:t>
      </w:r>
      <w:r>
        <w:t xml:space="preserve">and</w:t>
      </w:r>
      <w:r>
        <w:t xml:space="preserve"> </w:t>
      </w:r>
      <w:r>
        <w:t xml:space="preserve">Fuka et al. (2014)</w:t>
      </w:r>
      <w:r>
        <w:t xml:space="preserve">. The filter was run three times (forward, backward, forward) to attenuate the base-flow signal.</w:t>
      </w:r>
    </w:p>
    <w:p>
      <w:pPr>
        <w:pStyle w:val="BodyText"/>
      </w:pPr>
      <w:r>
        <w:t xml:space="preserve">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bookmarkEnd w:id="30"/>
    <w:bookmarkStart w:id="36" w:name="machine-learning"/>
    <w:p>
      <w:pPr>
        <w:pStyle w:val="Heading3"/>
      </w:pPr>
      <w:r>
        <w:t xml:space="preserve">Machine Learning</w:t>
      </w:r>
    </w:p>
    <w:p>
      <w:pPr>
        <w:pStyle w:val="FirstParagraph"/>
      </w:pPr>
      <w:r>
        <w:t xml:space="preserve">Machine learning (ML) approaches have demonstrated strong utility in hydrologic prediction tasks, including the estimation of streamflow and base-flow indices</w:t>
      </w:r>
      <w:r>
        <w:t xml:space="preserve"> </w:t>
      </w:r>
      <w:r>
        <w:t xml:space="preserve">(Singh et al. 2018; Schmidt et al. 2020; Rozos et al. 2021)</w:t>
      </w:r>
      <w:r>
        <w:t xml:space="preserve">. In this study, we used the eXtreme Gradient Boosting (XGBoost) algorithm</w:t>
      </w:r>
      <w:r>
        <w:t xml:space="preserve"> </w:t>
      </w:r>
      <w:r>
        <w:t xml:space="preserve">(Chen et al. 2016)</w:t>
      </w:r>
      <w:r>
        <w:t xml:space="preserve"> </w:t>
      </w:r>
      <w:r>
        <w:t xml:space="preserve">to estimate annual BFI at ungauged locations across Arizona using catchment characteristics as predictors</w:t>
      </w:r>
      <w:r>
        <w:t xml:space="preserve"> </w:t>
      </w:r>
      <w:hyperlink w:anchor="tbl-predictors">
        <w:r>
          <w:rPr>
            <w:rStyle w:val="Hyperlink"/>
          </w:rPr>
          <w:t xml:space="preserve">Table 1</w:t>
        </w:r>
      </w:hyperlink>
      <w:r>
        <w:t xml:space="preserve">. XGBoost is a gradient boosting algorithm that builds an ensemble of decision trees, where each tree iteratively corrects errors from previous trees to improve predictive accuracy</w:t>
      </w:r>
      <w:r>
        <w:t xml:space="preserve"> </w:t>
      </w:r>
      <w:r>
        <w:t xml:space="preserve">(Chen et al. 2016)</w:t>
      </w:r>
      <w:r>
        <w:t xml:space="preserve">. To our knowledge this is the first time that this advanced, decision-tree algorithm has been used in hydrologic prediction. The model was trained on annual BFI observations in order to estimate annual BFI in ungauged basins. These annual BFI estimates were averaged over time to represent long-term BFI, consistent with the time-integrated nature of our response metric.</w:t>
      </w:r>
    </w:p>
    <w:tbl>
      <w:tblPr>
        <w:tblStyle w:val="Table"/>
        <w:tblW w:type="pct" w:w="5000"/>
        <w:tblLayout w:type="fixed"/>
        <w:tblLook w:firstRow="0" w:lastRow="0" w:firstColumn="0" w:lastColumn="0" w:noHBand="0" w:noVBand="0" w:val="0000"/>
      </w:tblPr>
      <w:tblGrid>
        <w:gridCol w:w="7920"/>
      </w:tblGrid>
      <w:tr>
        <w:tc>
          <w:tcPr/>
          <w:bookmarkStart w:id="31" w:name="tbl-predictors"/>
          <w:p>
            <w:pPr>
              <w:jc w:val="center"/>
            </w:pPr>
            <w:pPr>
              <w:jc w:val="start"/>
              <w:spacing w:before="200"/>
              <w:pStyle w:val="ImageCaption"/>
            </w:pPr>
            <w:r>
              <w:t xml:space="preserve">Table 1: Basin-characteristic variables used in reduced XGBoost model. A list of initial predictor variables used in the full model is provided in the Supplemental Information.</w:t>
            </w:r>
          </w:p>
          <w:tbl>
            <w:tblPr>
              <w:tblStyle w:val="Table"/>
              <w:tblW w:type="pct" w:w="5000"/>
              <w:tblLayout w:type="fixed"/>
              <w:tblLook w:firstRow="1" w:lastRow="0" w:firstColumn="0" w:lastColumn="0" w:noHBand="0" w:noVBand="0" w:val="0020"/>
            </w:tblPr>
            <w:tblGrid>
              <w:gridCol w:w="1540"/>
              <w:gridCol w:w="3410"/>
              <w:gridCol w:w="880"/>
              <w:gridCol w:w="2090"/>
            </w:tblGrid>
            <w:tr>
              <w:trPr>
                <w:tblHeader w:val="on"/>
              </w:trPr>
              <w:tc>
                <w:tcPr/>
                <w:p>
                  <w:pPr>
                    <w:pStyle w:val="Compact"/>
                  </w:pPr>
                </w:p>
              </w:tc>
              <w:tc>
                <w:tcPr/>
                <w:p>
                  <w:pPr>
                    <w:pStyle w:val="Compact"/>
                    <w:jc w:val="center"/>
                  </w:pPr>
                  <w:r>
                    <w:t xml:space="preserve">Variable</w:t>
                  </w:r>
                </w:p>
              </w:tc>
              <w:tc>
                <w:tcPr/>
                <w:p>
                  <w:pPr>
                    <w:pStyle w:val="Compact"/>
                    <w:jc w:val="center"/>
                  </w:pPr>
                  <w:r>
                    <w:t xml:space="preserve">Source</w:t>
                  </w:r>
                </w:p>
              </w:tc>
              <w:tc>
                <w:tcPr/>
                <w:p>
                  <w:pPr>
                    <w:pStyle w:val="Compact"/>
                    <w:jc w:val="center"/>
                  </w:pPr>
                  <w:r>
                    <w:t xml:space="preserve">Geoprocessing</w:t>
                  </w:r>
                </w:p>
              </w:tc>
            </w:tr>
            <w:tr>
              <w:tc>
                <w:tcPr/>
                <w:p>
                  <w:pPr>
                    <w:pStyle w:val="Compact"/>
                    <w:jc w:val="center"/>
                  </w:pPr>
                  <w:r>
                    <w:t xml:space="preserve">Hydroclimate</w:t>
                  </w:r>
                </w:p>
              </w:tc>
              <w:tc>
                <w:tcPr/>
                <w:p>
                  <w:pPr>
                    <w:pStyle w:val="Compact"/>
                    <w:jc w:val="center"/>
                  </w:pPr>
                  <w:r>
                    <w:t xml:space="preserve">Temperature</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Mean Precip</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Reference ET</w:t>
                  </w:r>
                </w:p>
              </w:tc>
              <w:tc>
                <w:tcPr/>
                <w:p>
                  <w:pPr>
                    <w:pStyle w:val="Compact"/>
                    <w:jc w:val="center"/>
                  </w:pPr>
                  <w:r>
                    <w:t xml:space="preserve">MODIS</w:t>
                  </w:r>
                </w:p>
              </w:tc>
              <w:tc>
                <w:tcPr/>
                <w:p>
                  <w:pPr>
                    <w:pStyle w:val="Compact"/>
                    <w:jc w:val="center"/>
                  </w:pPr>
                  <w:r>
                    <w:t xml:space="preserve">Basin Mean</w:t>
                  </w:r>
                </w:p>
              </w:tc>
            </w:tr>
            <w:tr>
              <w:tc>
                <w:tcPr/>
                <w:p>
                  <w:pPr>
                    <w:pStyle w:val="Compact"/>
                    <w:jc w:val="center"/>
                  </w:pPr>
                  <w:r>
                    <w:t xml:space="preserve">Geospatial</w:t>
                  </w:r>
                </w:p>
              </w:tc>
              <w:tc>
                <w:tcPr/>
                <w:p>
                  <w:pPr>
                    <w:pStyle w:val="Compact"/>
                    <w:jc w:val="center"/>
                  </w:pPr>
                  <w:r>
                    <w:t xml:space="preserve">Elevation</w:t>
                  </w:r>
                </w:p>
              </w:tc>
              <w:tc>
                <w:tcPr/>
                <w:p>
                  <w:pPr>
                    <w:pStyle w:val="Compact"/>
                    <w:jc w:val="center"/>
                  </w:pPr>
                  <w:r>
                    <w:t xml:space="preserve">DEM</w:t>
                  </w:r>
                </w:p>
              </w:tc>
              <w:tc>
                <w:tcPr/>
                <w:p>
                  <w:pPr>
                    <w:pStyle w:val="Compact"/>
                    <w:jc w:val="center"/>
                  </w:pPr>
                  <w:r>
                    <w:t xml:space="preserve">Basin Mean</w:t>
                  </w:r>
                </w:p>
              </w:tc>
            </w:tr>
            <w:tr>
              <w:tc>
                <w:tcPr/>
                <w:p>
                  <w:pPr>
                    <w:pStyle w:val="Compact"/>
                  </w:pPr>
                </w:p>
              </w:tc>
              <w:tc>
                <w:tcPr/>
                <w:p>
                  <w:pPr>
                    <w:pStyle w:val="Compact"/>
                    <w:jc w:val="center"/>
                  </w:pPr>
                  <w:r>
                    <w:t xml:space="preserve">Soil Type A</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Soil Type C</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Land Cover - Open Water</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Low Develoment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Evergreen Forest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Herbaceous</w:t>
                  </w:r>
                </w:p>
              </w:tc>
              <w:tc>
                <w:tcPr/>
                <w:p>
                  <w:pPr>
                    <w:pStyle w:val="Compact"/>
                    <w:jc w:val="center"/>
                  </w:pPr>
                  <w:r>
                    <w:t xml:space="preserve">NLCD</w:t>
                  </w:r>
                </w:p>
              </w:tc>
              <w:tc>
                <w:tcPr/>
                <w:p>
                  <w:pPr>
                    <w:pStyle w:val="Compact"/>
                    <w:jc w:val="center"/>
                  </w:pPr>
                  <w:r>
                    <w:t xml:space="preserve">% Areal Coverage</w:t>
                  </w:r>
                </w:p>
              </w:tc>
            </w:tr>
          </w:tbl>
          <w:bookmarkEnd w:id="31"/>
          <w:p/>
        </w:tc>
      </w:tr>
    </w:tbl>
    <w:p>
      <w:pPr>
        <w:pStyle w:val="BodyText"/>
      </w:pPr>
      <w:r>
        <w:t xml:space="preserve">The training dataset consisted of 7,724 site-year observations, where each observation represents annual BFI for a single year at a given USGS streamgage.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pPr>
        <w:pStyle w:val="BodyText"/>
      </w:pPr>
      <w:r>
        <w:t xml:space="preserve">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(SHapley Additive exPlanations) values</w:t>
      </w:r>
      <w:r>
        <w:t xml:space="preserve"> </w:t>
      </w:r>
      <w:r>
        <w:t xml:space="preserve">(Lundberg and Lee 2017)</w:t>
      </w:r>
      <w:r>
        <w:t xml:space="preserve"> </w:t>
      </w:r>
      <w:r>
        <w:t xml:space="preserve">to assess global feature importance and rank predictors. SHAP was chosen for its interpretability and ability to account for feature interactions</w:t>
      </w:r>
      <w:r>
        <w:t xml:space="preserve"> </w:t>
      </w:r>
      <w:r>
        <w:t xml:space="preserve">(Lundberg and Lee 2017)</w:t>
      </w:r>
      <w:r>
        <w:t xml:space="preserve">.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p>
      <w:pPr>
        <w:pStyle w:val="BodyText"/>
      </w:pPr>
      <w:r>
        <w:t xml:space="preserve">The model dataset was evaluated using 10-fold cross-validation, ensuring robust performance estimates and guarding against overfitting</w:t>
      </w:r>
      <w:r>
        <w:t xml:space="preserve"> </w:t>
      </w:r>
      <w:hyperlink w:anchor="fig-k-fold">
        <w:r>
          <w:rPr>
            <w:rStyle w:val="Hyperlink"/>
          </w:rPr>
          <w:t xml:space="preserve">Figure 2</w:t>
        </w:r>
      </w:hyperlink>
      <w:r>
        <w:t xml:space="preserve"> </w:t>
      </w:r>
      <w:r>
        <w:t xml:space="preserve">. In each iteration (fold), the model was trained on 90% of the data and validated on the remaining 10%, with folds being rotated until all of the data had been used for validation in separate models. Root mean squared error (RMSE) was used as the primary performance metric. Model performance on unseen data was strong, with an overall R² of 0.764.</w:t>
      </w:r>
    </w:p>
    <w:p>
      <w:pPr>
        <w:pStyle w:val="BodyText"/>
      </w:pPr>
      <w:r>
        <w:t xml:space="preserve">To contextualize model accuracy, we compared XGBoost to two baseline methods: a simple linear regression and an inverse distance weighting (IDW) interpolation. XGBoost reduced RMSE by 43% relative to the linear model and 30% relative to IDW, while improving NSE from 0.25 (linear) and 0.45 (IDW) to 0.75, indicating substantially stronger predictive accuracy and spatial generalization.</w:t>
      </w:r>
    </w:p>
    <w:tbl>
      <w:tblPr>
        <w:tblStyle w:val="Table"/>
        <w:tblW w:type="pct" w:w="5000"/>
        <w:tblLayout w:type="fixed"/>
        <w:tblLook w:firstRow="0" w:lastRow="0" w:firstColumn="0" w:lastColumn="0" w:noHBand="0" w:noVBand="0" w:val="0000"/>
      </w:tblPr>
      <w:tblGrid>
        <w:gridCol w:w="7920"/>
      </w:tblGrid>
      <w:tr>
        <w:tc>
          <w:tcPr/>
          <w:bookmarkStart w:id="35" w:name="fig-k-fold"/>
          <w:p>
            <w:pPr>
              <w:pStyle w:val="Compact"/>
              <w:jc w:val="center"/>
            </w:pPr>
            <w:r>
              <w:drawing>
                <wp:inline>
                  <wp:extent cx="5334000" cy="3102161"/>
                  <wp:effectExtent b="0" l="0" r="0" t="0"/>
                  <wp:docPr descr="" title="" id="33" name="Picture"/>
                  <a:graphic>
                    <a:graphicData uri="http://schemas.openxmlformats.org/drawingml/2006/picture">
                      <pic:pic>
                        <pic:nvPicPr>
                          <pic:cNvPr descr="images/k-fold_fig.png" id="34" name="Picture"/>
                          <pic:cNvPicPr>
                            <a:picLocks noChangeArrowheads="1" noChangeAspect="1"/>
                          </pic:cNvPicPr>
                        </pic:nvPicPr>
                        <pic:blipFill>
                          <a:blip r:embed="rId32"/>
                          <a:stretch>
                            <a:fillRect/>
                          </a:stretch>
                        </pic:blipFill>
                        <pic:spPr bwMode="auto">
                          <a:xfrm>
                            <a:off x="0" y="0"/>
                            <a:ext cx="5334000" cy="31021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bookmarkEnd w:id="35"/>
        </w:tc>
      </w:tr>
    </w:tbl>
    <w:p>
      <w:pPr>
        <w:pStyle w:val="BodyText"/>
      </w:pPr>
      <w:r>
        <w:t xml:space="preserve">Hyperparameter tuning was performed through an internal grid search. The search evaluated combinations of parameters including the number of trees, learning rate (</w:t>
      </w:r>
      <m:oMath>
        <m:r>
          <m:t>η</m:t>
        </m:r>
      </m:oMath>
      <w:r>
        <w:t xml:space="preserve">), minimum split loss (</w:t>
      </w:r>
      <m:oMath>
        <m:r>
          <m:t>γ</m:t>
        </m:r>
      </m:oMath>
      <w:r>
        <w:t xml:space="preserve">), tree depth, and minimum child weight. A description of these hyperparametes can be found in</w:t>
      </w:r>
      <w:r>
        <w:t xml:space="preserve"> </w:t>
      </w:r>
      <w:r>
        <w:t xml:space="preserve">Chen et al. (2016)</w:t>
      </w:r>
      <w:r>
        <w:t xml:space="preserve">. The final model used 700 trees,</w:t>
      </w:r>
      <w:r>
        <w:t xml:space="preserve"> </w:t>
      </w:r>
      <m:oMath>
        <m:r>
          <m:t>η</m:t>
        </m:r>
      </m:oMath>
      <w:r>
        <w:t xml:space="preserve"> </w:t>
      </w:r>
      <w:r>
        <w:t xml:space="preserve">of 0.05,</w:t>
      </w:r>
      <w:r>
        <w:t xml:space="preserve"> </w:t>
      </w:r>
      <m:oMath>
        <m:r>
          <m:t>γ</m:t>
        </m:r>
      </m:oMath>
      <w:r>
        <w:t xml:space="preserve"> </w:t>
      </w:r>
      <w:r>
        <w:t xml:space="preserve">of 0.075, a maximum depth of 7, and a minimum child weight of 5. All parameters were selected for their reduction in RMSE across validation folds.</w:t>
      </w:r>
    </w:p>
    <w:bookmarkEnd w:id="36"/>
    <w:bookmarkStart w:id="37" w:name="statistical-analyses"/>
    <w:p>
      <w:pPr>
        <w:pStyle w:val="Heading3"/>
      </w:pPr>
      <w:r>
        <w:t xml:space="preserve">Statistical Analyses</w:t>
      </w:r>
    </w:p>
    <w:p>
      <w:pPr>
        <w:pStyle w:val="FirstParagraph"/>
      </w:pPr>
      <w:r>
        <w:t xml:space="preserve">Statistical analyses were conducted on annual BFI values from instrumented streamgages to identify site-specific temporal trends using the Mann–Kendall nonparametric trend test</w:t>
      </w:r>
      <w:r>
        <w:t xml:space="preserve"> </w:t>
      </w:r>
      <w:r>
        <w:t xml:space="preserve">(Kendall 1970; Mann 1945)</w:t>
      </w:r>
      <w:r>
        <w:t xml:space="preserve">. This test detects monotonic trends in non-normally distributed data and assumes the absence of autocorrelation. This test is widely used in hydrologic trend studies</w:t>
      </w:r>
      <w:r>
        <w:t xml:space="preserve"> </w:t>
      </w:r>
      <w:r>
        <w:t xml:space="preserve">(Ficklin et al. 2016; Ayers et al. 2019; Woodhouse et al. 2022)</w:t>
      </w:r>
      <w:r>
        <w:t xml:space="preserve">.</w:t>
      </w:r>
    </w:p>
    <w:p>
      <w:pPr>
        <w:pStyle w:val="BodyText"/>
      </w:pPr>
      <w:r>
        <w:t xml:space="preserve">To account for potential autocorrelation in annual BFI time series at each instrumented site, we applied the Durbin–Watson test</w:t>
      </w:r>
      <w:r>
        <w:t xml:space="preserve"> </w:t>
      </w:r>
      <w:r>
        <w:t xml:space="preserve">(Durbin and Watson 1950)</w:t>
      </w:r>
      <w:r>
        <w:t xml:space="preserve">. Four streamgages exhibited significant autocorrelation; these sites were excluded from the trend analysis to avoid inflated variance in the Mann–Kendall statistic and potential bias in trend detection</w:t>
      </w:r>
      <w:r>
        <w:t xml:space="preserve"> </w:t>
      </w:r>
      <w:r>
        <w:t xml:space="preserve">(Hamed and Rao 1998)</w:t>
      </w:r>
      <w:r>
        <w:t xml:space="preserve">. As all autocorrelated series were removed, pre-whitening using the Hamed–Rao method was unnecessary</w:t>
      </w:r>
      <w:r>
        <w:t xml:space="preserve"> </w:t>
      </w:r>
      <w:r>
        <w:t xml:space="preserve">(Hamed and Rao 1998)</w:t>
      </w:r>
      <w:r>
        <w:t xml:space="preserve">. Trends with a</w:t>
      </w:r>
      <w:r>
        <w:t xml:space="preserve"> </w:t>
      </w:r>
      <m:oMath>
        <m:r>
          <m:t>α</m:t>
        </m:r>
        <m:r>
          <m:rPr>
            <m:sty m:val="p"/>
          </m:rPr>
          <m:t>≤</m:t>
        </m:r>
        <m:r>
          <m:t>0.05</m:t>
        </m:r>
      </m:oMath>
      <w:r>
        <w:t xml:space="preserve"> </w:t>
      </w:r>
      <w:r>
        <w:t xml:space="preserve">are considered significant.</w:t>
      </w:r>
    </w:p>
    <w:bookmarkEnd w:id="37"/>
    <w:bookmarkEnd w:id="38"/>
    <w:bookmarkStart w:id="70" w:name="results"/>
    <w:p>
      <w:pPr>
        <w:pStyle w:val="Heading2"/>
      </w:pPr>
      <w:r>
        <w:t xml:space="preserve">Results</w:t>
      </w:r>
    </w:p>
    <w:bookmarkStart w:id="52" w:name="observed-bfi-in-gauged-catchments"/>
    <w:p>
      <w:pPr>
        <w:pStyle w:val="Heading3"/>
      </w:pPr>
      <w:r>
        <w:t xml:space="preserve">Observed BFI in Gauged Catchments</w:t>
      </w:r>
    </w:p>
    <w:p>
      <w:pPr>
        <w:pStyle w:val="FirstParagraph"/>
      </w:pPr>
      <w:r>
        <w:t xml:space="preserve">The long-term BFI for the 205 gauged reaches across Arizona is illustrated in</w:t>
      </w:r>
      <w:r>
        <w:t xml:space="preserve"> </w:t>
      </w:r>
      <w:hyperlink w:anchor="fig-instrumented-bfi">
        <w:r>
          <w:rPr>
            <w:rStyle w:val="Hyperlink"/>
          </w:rPr>
          <w:t xml:space="preserve">Figure 3</w:t>
        </w:r>
      </w:hyperlink>
      <w:r>
        <w:t xml:space="preserve"> </w:t>
      </w:r>
      <w:r>
        <w:t xml:space="preserve">.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w:t>
      </w:r>
      <w:r>
        <w:t xml:space="preserve"> </w:t>
      </w:r>
      <w:r>
        <w:t xml:space="preserve">(Chambless et al. 2023)</w:t>
      </w:r>
      <w:r>
        <w:t xml:space="preserve">. High long-term BFI values (&gt;0.8) are also found at the spring-fed headwaters of the Verde River and Fossil Creek, which have similar highly-karstic, snowmelt-driven recharge areas.</w:t>
      </w:r>
    </w:p>
    <w:p>
      <w:pPr>
        <w:pStyle w:val="BodyText"/>
      </w:pPr>
      <w:r>
        <w:t xml:space="preserve">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w:t>
      </w:r>
      <w:r>
        <w:t xml:space="preserve"> </w:t>
      </w:r>
      <w:r>
        <w:t xml:space="preserve">(Blanchard 2002)</w:t>
      </w:r>
      <w:r>
        <w:t xml:space="preserve">.</w:t>
      </w:r>
    </w:p>
    <w:tbl>
      <w:tblPr>
        <w:tblStyle w:val="Table"/>
        <w:tblW w:type="pct" w:w="5000"/>
        <w:tblLayout w:type="fixed"/>
        <w:tblLook w:firstRow="0" w:lastRow="0" w:firstColumn="0" w:lastColumn="0" w:noHBand="0" w:noVBand="0" w:val="0000"/>
      </w:tblPr>
      <w:tblGrid>
        <w:gridCol w:w="7920"/>
      </w:tblGrid>
      <w:tr>
        <w:tc>
          <w:tcPr/>
          <w:bookmarkStart w:id="42" w:name="fig-instrumented-bfi"/>
          <w:p>
            <w:pPr>
              <w:pStyle w:val="Compact"/>
              <w:jc w:val="center"/>
            </w:pPr>
            <w:r>
              <w:drawing>
                <wp:inline>
                  <wp:extent cx="5334000" cy="6440332"/>
                  <wp:effectExtent b="0" l="0" r="0" t="0"/>
                  <wp:docPr descr="" title="" id="40" name="Picture"/>
                  <a:graphic>
                    <a:graphicData uri="http://schemas.openxmlformats.org/drawingml/2006/picture">
                      <pic:pic>
                        <pic:nvPicPr>
                          <pic:cNvPr descr="images/updated/BFI_Instrumented_20240404.png" id="41" name="Picture"/>
                          <pic:cNvPicPr>
                            <a:picLocks noChangeArrowheads="1" noChangeAspect="1"/>
                          </pic:cNvPicPr>
                        </pic:nvPicPr>
                        <pic:blipFill>
                          <a:blip r:embed="rId39"/>
                          <a:stretch>
                            <a:fillRect/>
                          </a:stretch>
                        </pic:blipFill>
                        <pic:spPr bwMode="auto">
                          <a:xfrm>
                            <a:off x="0" y="0"/>
                            <a:ext cx="5334000" cy="64403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Long-term BFI for the period of record from instrumented stream flow data.</w:t>
            </w:r>
          </w:p>
          <w:bookmarkEnd w:id="42"/>
        </w:tc>
      </w:tr>
    </w:tbl>
    <w:bookmarkStart w:id="47" w:name="sec-bfi-trends"/>
    <w:p>
      <w:pPr>
        <w:pStyle w:val="Heading4"/>
      </w:pPr>
      <w:r>
        <w:t xml:space="preserve">Trends in Annual BFI</w:t>
      </w:r>
    </w:p>
    <w:p>
      <w:pPr>
        <w:pStyle w:val="FirstParagraph"/>
      </w:pPr>
      <w:r>
        <w:t xml:space="preserve">Trends in annual BFI over the period of record for each streamgage are illustrated in</w:t>
      </w:r>
      <w:r>
        <w:t xml:space="preserve"> </w:t>
      </w:r>
      <w:hyperlink w:anchor="fig-instrumented-trend">
        <w:r>
          <w:rPr>
            <w:rStyle w:val="Hyperlink"/>
          </w:rPr>
          <w:t xml:space="preserve">Figure 4</w:t>
        </w:r>
      </w:hyperlink>
      <w:r>
        <w:t xml:space="preserve"> </w:t>
      </w:r>
      <w:r>
        <w:t xml:space="preserve">and summarized in</w:t>
      </w:r>
      <w:r>
        <w:t xml:space="preserve"> </w:t>
      </w:r>
      <w:hyperlink w:anchor="tbl-trends">
        <w:r>
          <w:rPr>
            <w:rStyle w:val="Hyperlink"/>
          </w:rPr>
          <w:t xml:space="preserve">Table 2</w:t>
        </w:r>
      </w:hyperlink>
      <w:r>
        <w:t xml:space="preserve">.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pPr>
        <w:pStyle w:val="BodyText"/>
      </w:pPr>
      <w:hyperlink w:anchor="fig-instrumented-trend">
        <w:r>
          <w:rPr>
            <w:rStyle w:val="Hyperlink"/>
          </w:rPr>
          <w:t xml:space="preserve">Figure 4</w:t>
        </w:r>
      </w:hyperlink>
      <w:r>
        <w:t xml:space="preserve"> </w:t>
      </w:r>
      <w:r>
        <w:t xml:space="preserve">illustrates the spatial variation in long-term BFI trends across the study area. Statistically significant decreasing trends are observed at 16.1% of sites, while increasing trends are found at 8.8% of sites. No consistent regional patterns are evident.</w:t>
      </w:r>
    </w:p>
    <w:tbl>
      <w:tblPr>
        <w:tblStyle w:val="Table"/>
        <w:tblW w:type="pct" w:w="5000"/>
        <w:tblLayout w:type="fixed"/>
        <w:tblLook w:firstRow="0" w:lastRow="0" w:firstColumn="0" w:lastColumn="0" w:noHBand="0" w:noVBand="0" w:val="0000"/>
      </w:tblPr>
      <w:tblGrid>
        <w:gridCol w:w="7920"/>
      </w:tblGrid>
      <w:tr>
        <w:tc>
          <w:tcPr/>
          <w:bookmarkStart w:id="46" w:name="fig-instrumented-trend"/>
          <w:p>
            <w:pPr>
              <w:pStyle w:val="Compact"/>
              <w:jc w:val="center"/>
            </w:pPr>
            <w:r>
              <w:drawing>
                <wp:inline>
                  <wp:extent cx="5334000" cy="6344316"/>
                  <wp:effectExtent b="0" l="0" r="0" t="0"/>
                  <wp:docPr descr="" title="" id="44" name="Picture"/>
                  <a:graphic>
                    <a:graphicData uri="http://schemas.openxmlformats.org/drawingml/2006/picture">
                      <pic:pic>
                        <pic:nvPicPr>
                          <pic:cNvPr descr="images/updated/BFITrends_20250404.png" id="45" name="Picture"/>
                          <pic:cNvPicPr>
                            <a:picLocks noChangeArrowheads="1" noChangeAspect="1"/>
                          </pic:cNvPicPr>
                        </pic:nvPicPr>
                        <pic:blipFill>
                          <a:blip r:embed="rId43"/>
                          <a:stretch>
                            <a:fillRect/>
                          </a:stretch>
                        </pic:blipFill>
                        <pic:spPr bwMode="auto">
                          <a:xfrm>
                            <a:off x="0" y="0"/>
                            <a:ext cx="5334000" cy="6344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Trends in BFI over full period of record for instrumented sites used in this study. Red downward (blue upward) arrows indicate a decreasing (increasing) trend at a significance level of 5%. White circles represent sites with no statistically significant trends.</w:t>
            </w:r>
          </w:p>
          <w:bookmarkEnd w:id="46"/>
        </w:tc>
      </w:tr>
    </w:tbl>
    <w:bookmarkEnd w:id="47"/>
    <w:bookmarkStart w:id="49" w:name="classification-trends"/>
    <w:p>
      <w:pPr>
        <w:pStyle w:val="Heading4"/>
      </w:pPr>
      <w:r>
        <w:t xml:space="preserve">Classification Trends</w:t>
      </w:r>
    </w:p>
    <w:p>
      <w:pPr>
        <w:pStyle w:val="FirstParagraph"/>
      </w:pPr>
      <w:r>
        <w:t xml:space="preserve">Classifications presented in</w:t>
      </w:r>
      <w:r>
        <w:t xml:space="preserve"> </w:t>
      </w:r>
      <w:hyperlink w:anchor="tbl-trends">
        <w:r>
          <w:rPr>
            <w:rStyle w:val="Hyperlink"/>
          </w:rPr>
          <w:t xml:space="preserve">Table 2</w:t>
        </w:r>
      </w:hyperlink>
      <w:r>
        <w:t xml:space="preserve"> </w:t>
      </w:r>
      <w:r>
        <w:t xml:space="preserve">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pPr>
        <w:pStyle w:val="BodyText"/>
      </w:pPr>
      <w:r>
        <w:t xml:space="preserve">Statistically significant decreasing trends in long-term BFI were more common than increasing trends across all site classifications (</w:t>
      </w:r>
      <w:hyperlink w:anchor="tbl-trends">
        <w:r>
          <w:rPr>
            <w:rStyle w:val="Hyperlink"/>
          </w:rPr>
          <w:t xml:space="preserve">Table 2</w:t>
        </w:r>
      </w:hyperlink>
      <w: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long-term BFI. Among climate classifications, warm-dry climates have the highest proportion of negative trends (20.0%), followed by warm-wet climates (19.4%), indicating that regions with higher temperatures are more prone to BFI declines. Low-slope regions show a greater prevalence of negative trends (20.4%) compared to high-slope regions (11.8%). This suggests that flatter areas may be more susceptible to base-flow reductions, potentially due to differences in hydrologic connectivity and recharge dynamics. Negative trends in low-slope regions may also be a result of reductions in water table height, assumed to follow topography, leading to a change in flow direction.</w:t>
      </w:r>
    </w:p>
    <w:tbl>
      <w:tblPr>
        <w:tblStyle w:val="Table"/>
        <w:tblW w:type="pct" w:w="5000"/>
        <w:tblLayout w:type="fixed"/>
        <w:tblLook w:firstRow="0" w:lastRow="0" w:firstColumn="0" w:lastColumn="0" w:noHBand="0" w:noVBand="0" w:val="0000"/>
      </w:tblPr>
      <w:tblGrid>
        <w:gridCol w:w="7920"/>
      </w:tblGrid>
      <w:tr>
        <w:tc>
          <w:tcPr/>
          <w:bookmarkStart w:id="48" w:name="tbl-trends"/>
          <w:p>
            <w:pPr>
              <w:jc w:val="center"/>
            </w:pPr>
            <w:pPr>
              <w:jc w:val="start"/>
              <w:spacing w:before="200"/>
              <w:pStyle w:val="ImageCaption"/>
            </w:pPr>
            <w:r>
              <w:t xml:space="preserve">Table 2: Comparison of trends for BFI for all sites split by various classifications. Only sites with a significant (</w:t>
            </w:r>
            <m:oMath>
              <m:r>
                <m:t>α</m:t>
              </m:r>
              <m:r>
                <m:rPr>
                  <m:sty m:val="p"/>
                </m:rPr>
                <m:t>≤</m:t>
              </m:r>
              <m:r>
                <m:t>0.05</m:t>
              </m:r>
            </m:oMath>
            <w:r>
              <w:t xml:space="preserve">)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n_pos</w:t>
                  </w:r>
                </w:p>
              </w:tc>
              <w:tc>
                <w:tcPr/>
                <w:p>
                  <w:pPr>
                    <w:pStyle w:val="Compact"/>
                    <w:jc w:val="center"/>
                  </w:pPr>
                  <w:r>
                    <w:rPr>
                      <w:b/>
                      <w:bCs/>
                    </w:rPr>
                    <w:t xml:space="preserve">n_neg</w:t>
                  </w:r>
                </w:p>
              </w:tc>
              <w:tc>
                <w:tcPr/>
                <w:p>
                  <w:pPr>
                    <w:pStyle w:val="Compact"/>
                    <w:jc w:val="center"/>
                  </w:pPr>
                  <w:r>
                    <w:rPr>
                      <w:b/>
                      <w:bCs/>
                    </w:rPr>
                    <w:t xml:space="preserve">perc_pos</w:t>
                  </w:r>
                </w:p>
              </w:tc>
              <w:tc>
                <w:tcPr/>
                <w:p>
                  <w:pPr>
                    <w:pStyle w:val="Compact"/>
                    <w:jc w:val="center"/>
                  </w:pPr>
                  <w:r>
                    <w:rPr>
                      <w:b/>
                      <w:bCs/>
                    </w:rPr>
                    <w:t xml:space="preserve">perc_neg</w:t>
                  </w:r>
                </w:p>
              </w:tc>
            </w:tr>
            <w:tr>
              <w:tc>
                <w:tcPr/>
                <w:p>
                  <w:pPr>
                    <w:pStyle w:val="Compact"/>
                    <w:jc w:val="center"/>
                  </w:pPr>
                  <w:r>
                    <w:t xml:space="preserve">Precipitation - Monsoon Dominated</w:t>
                  </w:r>
                </w:p>
              </w:tc>
              <w:tc>
                <w:tcPr/>
                <w:p>
                  <w:pPr>
                    <w:pStyle w:val="Compact"/>
                    <w:jc w:val="center"/>
                  </w:pPr>
                  <w:r>
                    <w:t xml:space="preserve">87</w:t>
                  </w:r>
                </w:p>
              </w:tc>
              <w:tc>
                <w:tcPr/>
                <w:p>
                  <w:pPr>
                    <w:pStyle w:val="Compact"/>
                    <w:jc w:val="center"/>
                  </w:pPr>
                  <w:r>
                    <w:t xml:space="preserve">8</w:t>
                  </w:r>
                </w:p>
              </w:tc>
              <w:tc>
                <w:tcPr/>
                <w:p>
                  <w:pPr>
                    <w:pStyle w:val="Compact"/>
                    <w:jc w:val="center"/>
                  </w:pPr>
                  <w:r>
                    <w:t xml:space="preserve">21</w:t>
                  </w:r>
                </w:p>
              </w:tc>
              <w:tc>
                <w:tcPr/>
                <w:p>
                  <w:pPr>
                    <w:pStyle w:val="Compact"/>
                    <w:jc w:val="center"/>
                  </w:pPr>
                  <w:r>
                    <w:t xml:space="preserve">0.092</w:t>
                  </w:r>
                </w:p>
              </w:tc>
              <w:tc>
                <w:tcPr/>
                <w:p>
                  <w:pPr>
                    <w:pStyle w:val="Compact"/>
                    <w:jc w:val="center"/>
                  </w:pPr>
                  <w:r>
                    <w:t xml:space="preserve">0.241</w:t>
                  </w:r>
                </w:p>
              </w:tc>
            </w:tr>
            <w:tr>
              <w:tc>
                <w:tcPr/>
                <w:p>
                  <w:pPr>
                    <w:pStyle w:val="Compact"/>
                    <w:jc w:val="center"/>
                  </w:pPr>
                  <w:r>
                    <w:t xml:space="preserve">Precipitation - Snowmelt Dominated</w:t>
                  </w:r>
                </w:p>
              </w:tc>
              <w:tc>
                <w:tcPr/>
                <w:p>
                  <w:pPr>
                    <w:pStyle w:val="Compact"/>
                    <w:jc w:val="center"/>
                  </w:pPr>
                  <w:r>
                    <w:t xml:space="preserve">118</w:t>
                  </w:r>
                </w:p>
              </w:tc>
              <w:tc>
                <w:tcPr/>
                <w:p>
                  <w:pPr>
                    <w:pStyle w:val="Compact"/>
                    <w:jc w:val="center"/>
                  </w:pPr>
                  <w:r>
                    <w:t xml:space="preserve">9</w:t>
                  </w:r>
                </w:p>
              </w:tc>
              <w:tc>
                <w:tcPr/>
                <w:p>
                  <w:pPr>
                    <w:pStyle w:val="Compact"/>
                    <w:jc w:val="center"/>
                  </w:pPr>
                  <w:r>
                    <w:t xml:space="preserve">12</w:t>
                  </w:r>
                </w:p>
              </w:tc>
              <w:tc>
                <w:tcPr/>
                <w:p>
                  <w:pPr>
                    <w:pStyle w:val="Compact"/>
                    <w:jc w:val="center"/>
                  </w:pPr>
                  <w:r>
                    <w:t xml:space="preserve">0.076</w:t>
                  </w:r>
                </w:p>
              </w:tc>
              <w:tc>
                <w:tcPr/>
                <w:p>
                  <w:pPr>
                    <w:pStyle w:val="Compact"/>
                    <w:jc w:val="center"/>
                  </w:pPr>
                  <w:r>
                    <w:t xml:space="preserve">0.102</w:t>
                  </w:r>
                </w:p>
              </w:tc>
            </w:tr>
            <w:tr>
              <w:tc>
                <w:tcPr/>
                <w:p>
                  <w:pPr>
                    <w:pStyle w:val="Compact"/>
                    <w:jc w:val="center"/>
                  </w:pPr>
                  <w:r>
                    <w:t xml:space="preserve">Physiographic Region - Basin and Range</w:t>
                  </w:r>
                </w:p>
              </w:tc>
              <w:tc>
                <w:tcPr/>
                <w:p>
                  <w:pPr>
                    <w:pStyle w:val="Compact"/>
                    <w:jc w:val="center"/>
                  </w:pPr>
                  <w:r>
                    <w:t xml:space="preserve">156</w:t>
                  </w:r>
                </w:p>
              </w:tc>
              <w:tc>
                <w:tcPr/>
                <w:p>
                  <w:pPr>
                    <w:pStyle w:val="Compact"/>
                    <w:jc w:val="center"/>
                  </w:pPr>
                  <w:r>
                    <w:t xml:space="preserve">14</w:t>
                  </w:r>
                </w:p>
              </w:tc>
              <w:tc>
                <w:tcPr/>
                <w:p>
                  <w:pPr>
                    <w:pStyle w:val="Compact"/>
                    <w:jc w:val="center"/>
                  </w:pPr>
                  <w:r>
                    <w:t xml:space="preserve">26</w:t>
                  </w:r>
                </w:p>
              </w:tc>
              <w:tc>
                <w:tcPr/>
                <w:p>
                  <w:pPr>
                    <w:pStyle w:val="Compact"/>
                    <w:jc w:val="center"/>
                  </w:pPr>
                  <w:r>
                    <w:t xml:space="preserve">0.090</w:t>
                  </w:r>
                </w:p>
              </w:tc>
              <w:tc>
                <w:tcPr/>
                <w:p>
                  <w:pPr>
                    <w:pStyle w:val="Compact"/>
                    <w:jc w:val="center"/>
                  </w:pPr>
                  <w:r>
                    <w:t xml:space="preserve">0.167</w:t>
                  </w:r>
                </w:p>
              </w:tc>
            </w:tr>
            <w:tr>
              <w:tc>
                <w:tcPr/>
                <w:p>
                  <w:pPr>
                    <w:pStyle w:val="Compact"/>
                    <w:jc w:val="center"/>
                  </w:pPr>
                  <w:r>
                    <w:t xml:space="preserve">Physiographic Region - Colorado Plateau</w:t>
                  </w:r>
                </w:p>
              </w:tc>
              <w:tc>
                <w:tcPr/>
                <w:p>
                  <w:pPr>
                    <w:pStyle w:val="Compact"/>
                    <w:jc w:val="center"/>
                  </w:pPr>
                  <w:r>
                    <w:t xml:space="preserve">49</w:t>
                  </w:r>
                </w:p>
              </w:tc>
              <w:tc>
                <w:tcPr/>
                <w:p>
                  <w:pPr>
                    <w:pStyle w:val="Compact"/>
                    <w:jc w:val="center"/>
                  </w:pPr>
                  <w:r>
                    <w:t xml:space="preserve">3</w:t>
                  </w:r>
                </w:p>
              </w:tc>
              <w:tc>
                <w:tcPr/>
                <w:p>
                  <w:pPr>
                    <w:pStyle w:val="Compact"/>
                    <w:jc w:val="center"/>
                  </w:pPr>
                  <w:r>
                    <w:t xml:space="preserve">7</w:t>
                  </w:r>
                </w:p>
              </w:tc>
              <w:tc>
                <w:tcPr/>
                <w:p>
                  <w:pPr>
                    <w:pStyle w:val="Compact"/>
                    <w:jc w:val="center"/>
                  </w:pPr>
                  <w:r>
                    <w:t xml:space="preserve">0.061</w:t>
                  </w:r>
                </w:p>
              </w:tc>
              <w:tc>
                <w:tcPr/>
                <w:p>
                  <w:pPr>
                    <w:pStyle w:val="Compact"/>
                    <w:jc w:val="center"/>
                  </w:pPr>
                  <w:r>
                    <w:t xml:space="preserve">0.143</w:t>
                  </w:r>
                </w:p>
              </w:tc>
            </w:tr>
            <w:tr>
              <w:tc>
                <w:tcPr/>
                <w:p>
                  <w:pPr>
                    <w:pStyle w:val="Compact"/>
                    <w:jc w:val="center"/>
                  </w:pPr>
                  <w:r>
                    <w:t xml:space="preserve">Climate - Warm-Wet</w:t>
                  </w:r>
                </w:p>
              </w:tc>
              <w:tc>
                <w:tcPr/>
                <w:p>
                  <w:pPr>
                    <w:pStyle w:val="Compact"/>
                    <w:jc w:val="center"/>
                  </w:pPr>
                  <w:r>
                    <w:t xml:space="preserve">31</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0.065</w:t>
                  </w:r>
                </w:p>
              </w:tc>
              <w:tc>
                <w:tcPr/>
                <w:p>
                  <w:pPr>
                    <w:pStyle w:val="Compact"/>
                    <w:jc w:val="center"/>
                  </w:pPr>
                  <w:r>
                    <w:t xml:space="preserve">0.194</w:t>
                  </w:r>
                </w:p>
              </w:tc>
            </w:tr>
            <w:tr>
              <w:tc>
                <w:tcPr/>
                <w:p>
                  <w:pPr>
                    <w:pStyle w:val="Compact"/>
                    <w:jc w:val="center"/>
                  </w:pPr>
                  <w:r>
                    <w:t xml:space="preserve">Climate - Warm-Dry</w:t>
                  </w:r>
                </w:p>
              </w:tc>
              <w:tc>
                <w:tcPr/>
                <w:p>
                  <w:pPr>
                    <w:pStyle w:val="Compact"/>
                    <w:jc w:val="center"/>
                  </w:pPr>
                  <w:r>
                    <w:t xml:space="preserve">55</w:t>
                  </w:r>
                </w:p>
              </w:tc>
              <w:tc>
                <w:tcPr/>
                <w:p>
                  <w:pPr>
                    <w:pStyle w:val="Compact"/>
                    <w:jc w:val="center"/>
                  </w:pPr>
                  <w:r>
                    <w:t xml:space="preserve">6</w:t>
                  </w:r>
                </w:p>
              </w:tc>
              <w:tc>
                <w:tcPr/>
                <w:p>
                  <w:pPr>
                    <w:pStyle w:val="Compact"/>
                    <w:jc w:val="center"/>
                  </w:pPr>
                  <w:r>
                    <w:t xml:space="preserve">11</w:t>
                  </w:r>
                </w:p>
              </w:tc>
              <w:tc>
                <w:tcPr/>
                <w:p>
                  <w:pPr>
                    <w:pStyle w:val="Compact"/>
                    <w:jc w:val="center"/>
                  </w:pPr>
                  <w:r>
                    <w:t xml:space="preserve">0.109</w:t>
                  </w:r>
                </w:p>
              </w:tc>
              <w:tc>
                <w:tcPr/>
                <w:p>
                  <w:pPr>
                    <w:pStyle w:val="Compact"/>
                    <w:jc w:val="center"/>
                  </w:pPr>
                  <w:r>
                    <w:t xml:space="preserve">0.200</w:t>
                  </w:r>
                </w:p>
              </w:tc>
            </w:tr>
            <w:tr>
              <w:tc>
                <w:tcPr/>
                <w:p>
                  <w:pPr>
                    <w:pStyle w:val="Compact"/>
                    <w:jc w:val="center"/>
                  </w:pPr>
                  <w:r>
                    <w:t xml:space="preserve">Climate - Cool-Wet</w:t>
                  </w:r>
                </w:p>
              </w:tc>
              <w:tc>
                <w:tcPr/>
                <w:p>
                  <w:pPr>
                    <w:pStyle w:val="Compact"/>
                    <w:jc w:val="center"/>
                  </w:pPr>
                  <w:r>
                    <w:t xml:space="preserve">74</w:t>
                  </w:r>
                </w:p>
              </w:tc>
              <w:tc>
                <w:tcPr/>
                <w:p>
                  <w:pPr>
                    <w:pStyle w:val="Compact"/>
                    <w:jc w:val="center"/>
                  </w:pPr>
                  <w:r>
                    <w:t xml:space="preserve">4</w:t>
                  </w:r>
                </w:p>
              </w:tc>
              <w:tc>
                <w:tcPr/>
                <w:p>
                  <w:pPr>
                    <w:pStyle w:val="Compact"/>
                    <w:jc w:val="center"/>
                  </w:pPr>
                  <w:r>
                    <w:t xml:space="preserve">9</w:t>
                  </w:r>
                </w:p>
              </w:tc>
              <w:tc>
                <w:tcPr/>
                <w:p>
                  <w:pPr>
                    <w:pStyle w:val="Compact"/>
                    <w:jc w:val="center"/>
                  </w:pPr>
                  <w:r>
                    <w:t xml:space="preserve">0.054</w:t>
                  </w:r>
                </w:p>
              </w:tc>
              <w:tc>
                <w:tcPr/>
                <w:p>
                  <w:pPr>
                    <w:pStyle w:val="Compact"/>
                    <w:jc w:val="center"/>
                  </w:pPr>
                  <w:r>
                    <w:t xml:space="preserve">0.122</w:t>
                  </w:r>
                </w:p>
              </w:tc>
            </w:tr>
            <w:tr>
              <w:tc>
                <w:tcPr/>
                <w:p>
                  <w:pPr>
                    <w:pStyle w:val="Compact"/>
                    <w:jc w:val="center"/>
                  </w:pPr>
                  <w:r>
                    <w:t xml:space="preserve">Climate - Cool-Dry</w:t>
                  </w:r>
                </w:p>
              </w:tc>
              <w:tc>
                <w:tcPr/>
                <w:p>
                  <w:pPr>
                    <w:pStyle w:val="Compact"/>
                    <w:jc w:val="center"/>
                  </w:pPr>
                  <w:r>
                    <w:t xml:space="preserve">45</w:t>
                  </w:r>
                </w:p>
              </w:tc>
              <w:tc>
                <w:tcPr/>
                <w:p>
                  <w:pPr>
                    <w:pStyle w:val="Compact"/>
                    <w:jc w:val="center"/>
                  </w:pPr>
                  <w:r>
                    <w:t xml:space="preserve">5</w:t>
                  </w:r>
                </w:p>
              </w:tc>
              <w:tc>
                <w:tcPr/>
                <w:p>
                  <w:pPr>
                    <w:pStyle w:val="Compact"/>
                    <w:jc w:val="center"/>
                  </w:pPr>
                  <w:r>
                    <w:t xml:space="preserve">7</w:t>
                  </w:r>
                </w:p>
              </w:tc>
              <w:tc>
                <w:tcPr/>
                <w:p>
                  <w:pPr>
                    <w:pStyle w:val="Compact"/>
                    <w:jc w:val="center"/>
                  </w:pPr>
                  <w:r>
                    <w:t xml:space="preserve">0.111</w:t>
                  </w:r>
                </w:p>
              </w:tc>
              <w:tc>
                <w:tcPr/>
                <w:p>
                  <w:pPr>
                    <w:pStyle w:val="Compact"/>
                    <w:jc w:val="center"/>
                  </w:pPr>
                  <w:r>
                    <w:t xml:space="preserve">0.156</w:t>
                  </w:r>
                </w:p>
              </w:tc>
            </w:tr>
            <w:tr>
              <w:tc>
                <w:tcPr/>
                <w:p>
                  <w:pPr>
                    <w:pStyle w:val="Compact"/>
                    <w:jc w:val="center"/>
                  </w:pPr>
                  <w:r>
                    <w:t xml:space="preserve">Slope - High</w:t>
                  </w:r>
                </w:p>
              </w:tc>
              <w:tc>
                <w:tcPr/>
                <w:p>
                  <w:pPr>
                    <w:pStyle w:val="Compact"/>
                    <w:jc w:val="center"/>
                  </w:pPr>
                  <w:r>
                    <w:t xml:space="preserve">102</w:t>
                  </w:r>
                </w:p>
              </w:tc>
              <w:tc>
                <w:tcPr/>
                <w:p>
                  <w:pPr>
                    <w:pStyle w:val="Compact"/>
                    <w:jc w:val="center"/>
                  </w:pPr>
                  <w:r>
                    <w:t xml:space="preserve">10</w:t>
                  </w:r>
                </w:p>
              </w:tc>
              <w:tc>
                <w:tcPr/>
                <w:p>
                  <w:pPr>
                    <w:pStyle w:val="Compact"/>
                    <w:jc w:val="center"/>
                  </w:pPr>
                  <w:r>
                    <w:t xml:space="preserve">12</w:t>
                  </w:r>
                </w:p>
              </w:tc>
              <w:tc>
                <w:tcPr/>
                <w:p>
                  <w:pPr>
                    <w:pStyle w:val="Compact"/>
                    <w:jc w:val="center"/>
                  </w:pPr>
                  <w:r>
                    <w:t xml:space="preserve">0.098</w:t>
                  </w:r>
                </w:p>
              </w:tc>
              <w:tc>
                <w:tcPr/>
                <w:p>
                  <w:pPr>
                    <w:pStyle w:val="Compact"/>
                    <w:jc w:val="center"/>
                  </w:pPr>
                  <w:r>
                    <w:t xml:space="preserve">0.118</w:t>
                  </w:r>
                </w:p>
              </w:tc>
            </w:tr>
            <w:tr>
              <w:tc>
                <w:tcPr/>
                <w:p>
                  <w:pPr>
                    <w:pStyle w:val="Compact"/>
                    <w:jc w:val="center"/>
                  </w:pPr>
                  <w:r>
                    <w:t xml:space="preserve">Slope - Low</w:t>
                  </w:r>
                </w:p>
              </w:tc>
              <w:tc>
                <w:tcPr/>
                <w:p>
                  <w:pPr>
                    <w:pStyle w:val="Compact"/>
                    <w:jc w:val="center"/>
                  </w:pPr>
                  <w:r>
                    <w:t xml:space="preserve">103</w:t>
                  </w:r>
                </w:p>
              </w:tc>
              <w:tc>
                <w:tcPr/>
                <w:p>
                  <w:pPr>
                    <w:pStyle w:val="Compact"/>
                    <w:jc w:val="center"/>
                  </w:pPr>
                  <w:r>
                    <w:t xml:space="preserve">7</w:t>
                  </w:r>
                </w:p>
              </w:tc>
              <w:tc>
                <w:tcPr/>
                <w:p>
                  <w:pPr>
                    <w:pStyle w:val="Compact"/>
                    <w:jc w:val="center"/>
                  </w:pPr>
                  <w:r>
                    <w:t xml:space="preserve">21</w:t>
                  </w:r>
                </w:p>
              </w:tc>
              <w:tc>
                <w:tcPr/>
                <w:p>
                  <w:pPr>
                    <w:pStyle w:val="Compact"/>
                    <w:jc w:val="center"/>
                  </w:pPr>
                  <w:r>
                    <w:t xml:space="preserve">0.068</w:t>
                  </w:r>
                </w:p>
              </w:tc>
              <w:tc>
                <w:tcPr/>
                <w:p>
                  <w:pPr>
                    <w:pStyle w:val="Compact"/>
                    <w:jc w:val="center"/>
                  </w:pPr>
                  <w:r>
                    <w:t xml:space="preserve">0.204</w:t>
                  </w:r>
                </w:p>
              </w:tc>
            </w:tr>
          </w:tbl>
          <w:bookmarkEnd w:id="48"/>
          <w:p/>
        </w:tc>
      </w:tr>
    </w:tbl>
    <w:bookmarkEnd w:id="49"/>
    <w:bookmarkStart w:id="51" w:name="coincident-climate-trends"/>
    <w:p>
      <w:pPr>
        <w:pStyle w:val="Heading4"/>
      </w:pPr>
      <w:r>
        <w:t xml:space="preserve">Coincident Climate Trends</w:t>
      </w:r>
    </w:p>
    <w:p>
      <w:pPr>
        <w:pStyle w:val="FirstParagraph"/>
      </w:pPr>
      <w:r>
        <w:t xml:space="preserve">Coincident trends are defined as those in which long-term BFI trends match in direction with climate variable trends over the same period. Results are summarized in</w:t>
      </w:r>
      <w:r>
        <w:t xml:space="preserve"> </w:t>
      </w:r>
      <w:hyperlink w:anchor="tbl-coincident-trends">
        <w:r>
          <w:rPr>
            <w:rStyle w:val="Hyperlink"/>
          </w:rPr>
          <w:t xml:space="preserve">Table 3</w:t>
        </w:r>
      </w:hyperlink>
      <w:r>
        <w:t xml:space="preserve">. This analysis includes both significant and non-significant trends, which is appropriate where the influence of complex, interconnected processes may not always manifest as statistically significant patterns over limited observational periods</w:t>
      </w:r>
      <w:r>
        <w:t xml:space="preserve"> </w:t>
      </w:r>
      <w:r>
        <w:t xml:space="preserve">(Ficklin et al. 2016)</w:t>
      </w:r>
      <w:r>
        <w:t xml:space="preserve">. Long-term BFI coincided most with precipitation (53.17%), followed by ET</w:t>
      </w:r>
      <w:r>
        <w:rPr>
          <w:vertAlign w:val="subscript"/>
        </w:rPr>
        <w:t xml:space="preserve">O</w:t>
      </w:r>
      <w:r>
        <w:t xml:space="preserve"> </w:t>
      </w:r>
      <w:r>
        <w:t xml:space="preserve">and then temperature. Temperature trends most often show an inverse relationship—i.e., warming associated with declining BFI and base flow.</w:t>
      </w:r>
    </w:p>
    <w:p>
      <w:pPr>
        <w:pStyle w:val="BodyText"/>
      </w:pPr>
      <w:r>
        <w:t xml:space="preserve">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 w:name="tbl-coincident-trends"/>
          <w:p>
            <w:pPr>
              <w:jc w:val="center"/>
            </w:pPr>
            <w:pPr>
              <w:jc w:val="start"/>
              <w:spacing w:before="200"/>
              <w:pStyle w:val="ImageCaption"/>
            </w:pPr>
            <w:r>
              <w:t xml:space="preserve">Table 3: Coincident trends of climate variables (ET</w:t>
            </w:r>
            <w:r>
              <w:rPr>
                <w:vertAlign w:val="subscript"/>
              </w:rPr>
              <w:t xml:space="preserve">O</w:t>
            </w:r>
            <w:r>
              <w:t xml:space="preserve">, precipitation, temperature) with BFI trends.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jc w:val="center"/>
                  </w:pPr>
                  <w:r>
                    <w:rPr>
                      <w:b/>
                      <w:bCs/>
                    </w:rPr>
                    <w:t xml:space="preserve">Climate Variable</w:t>
                  </w:r>
                </w:p>
              </w:tc>
              <w:tc>
                <w:tcPr/>
                <w:p>
                  <w:pPr>
                    <w:pStyle w:val="Compact"/>
                    <w:jc w:val="center"/>
                    <w:jc w:val="center"/>
                  </w:pPr>
                  <w:r>
                    <w:rPr>
                      <w:b/>
                      <w:bCs/>
                    </w:rPr>
                    <w:t xml:space="preserve">Coincidence Percentage (%)</w:t>
                  </w:r>
                </w:p>
              </w:tc>
            </w:tr>
            <w:tr>
              <w:tc>
                <w:tcPr/>
                <w:p>
                  <w:pPr>
                    <w:pStyle w:val="Compact"/>
                    <w:jc w:val="center"/>
                  </w:pPr>
                  <w:r>
                    <w:t xml:space="preserve">BFI</w:t>
                  </w:r>
                </w:p>
              </w:tc>
              <w:tc>
                <w:tcPr/>
                <w:p>
                  <w:pPr>
                    <w:pStyle w:val="Compact"/>
                    <w:jc w:val="center"/>
                    <w:jc w:val="center"/>
                  </w:pPr>
                  <w:r>
                    <w:t xml:space="preserve">ET</w:t>
                  </w:r>
                  <w:r>
                    <w:rPr>
                      <w:vertAlign w:val="subscript"/>
                    </w:rPr>
                    <w:t xml:space="preserve">O</w:t>
                  </w:r>
                </w:p>
              </w:tc>
              <w:tc>
                <w:tcPr/>
                <w:p>
                  <w:pPr>
                    <w:pStyle w:val="Compact"/>
                    <w:jc w:val="center"/>
                    <w:jc w:val="center"/>
                  </w:pPr>
                  <w:r>
                    <w:t xml:space="preserve">44.88</w:t>
                  </w:r>
                </w:p>
              </w:tc>
            </w:tr>
            <w:tr>
              <w:tc>
                <w:tcPr/>
                <w:p>
                  <w:pPr>
                    <w:pStyle w:val="Compact"/>
                  </w:pPr>
                </w:p>
              </w:tc>
              <w:tc>
                <w:tcPr/>
                <w:p>
                  <w:pPr>
                    <w:pStyle w:val="Compact"/>
                    <w:jc w:val="center"/>
                    <w:jc w:val="center"/>
                  </w:pPr>
                  <w:r>
                    <w:t xml:space="preserve">Precipitation</w:t>
                  </w:r>
                </w:p>
              </w:tc>
              <w:tc>
                <w:tcPr/>
                <w:p>
                  <w:pPr>
                    <w:pStyle w:val="Compact"/>
                    <w:jc w:val="center"/>
                    <w:jc w:val="center"/>
                  </w:pPr>
                  <w:r>
                    <w:t xml:space="preserve">53.17</w:t>
                  </w:r>
                </w:p>
              </w:tc>
            </w:tr>
            <w:tr>
              <w:tc>
                <w:tcPr/>
                <w:p>
                  <w:pPr>
                    <w:pStyle w:val="Compact"/>
                  </w:pPr>
                </w:p>
              </w:tc>
              <w:tc>
                <w:tcPr/>
                <w:p>
                  <w:pPr>
                    <w:pStyle w:val="Compact"/>
                    <w:jc w:val="center"/>
                    <w:jc w:val="center"/>
                  </w:pPr>
                  <w:r>
                    <w:t xml:space="preserve">Temperature</w:t>
                  </w:r>
                </w:p>
              </w:tc>
              <w:tc>
                <w:tcPr/>
                <w:p>
                  <w:pPr>
                    <w:pStyle w:val="Compact"/>
                    <w:jc w:val="center"/>
                    <w:jc w:val="center"/>
                  </w:pPr>
                  <w:r>
                    <w:t xml:space="preserve">47.32</w:t>
                  </w:r>
                </w:p>
              </w:tc>
            </w:tr>
          </w:tbl>
          <w:bookmarkEnd w:id="50"/>
          <w:p/>
        </w:tc>
      </w:tr>
    </w:tbl>
    <w:bookmarkEnd w:id="51"/>
    <w:bookmarkEnd w:id="52"/>
    <w:bookmarkStart w:id="69" w:name="bfi-of-ungauged-catchments"/>
    <w:p>
      <w:pPr>
        <w:pStyle w:val="Heading3"/>
      </w:pPr>
      <w:r>
        <w:t xml:space="preserve">BFI of Ungauged Catchments</w:t>
      </w:r>
    </w:p>
    <w:bookmarkStart w:id="58" w:name="model-validation"/>
    <w:p>
      <w:pPr>
        <w:pStyle w:val="Heading4"/>
      </w:pPr>
      <w:r>
        <w:t xml:space="preserve">Model Validation</w:t>
      </w:r>
    </w:p>
    <w:p>
      <w:pPr>
        <w:pStyle w:val="FirstParagraph"/>
      </w:pPr>
      <w:r>
        <w:t xml:space="preserve">Predicted values of annual BFI are plotted against observed values for the entire period of record of the instrumented dataset in</w:t>
      </w:r>
      <w:r>
        <w:t xml:space="preserve"> </w:t>
      </w:r>
      <w:hyperlink w:anchor="fig-actual_predicted">
        <w:r>
          <w:rPr>
            <w:rStyle w:val="Hyperlink"/>
          </w:rPr>
          <w:t xml:space="preserve">Figure 5</w:t>
        </w:r>
      </w:hyperlink>
      <w:r>
        <w:t xml:space="preserve"> </w:t>
      </w:r>
      <w:r>
        <w:t xml:space="preserve">. The agreement between</w:t>
      </w:r>
      <w:r>
        <w:t xml:space="preserve"> </w:t>
      </w:r>
      <w:r>
        <w:t xml:space="preserve">“out-of-bag”</w:t>
      </w:r>
      <w:r>
        <w:t xml:space="preserve"> </w:t>
      </w:r>
      <w:r>
        <w:t xml:space="preserve">predictions (blind cross-validation, treating each site as ungauged) and observed values indicate strong model performance across the full dataset (R</w:t>
      </w:r>
      <w:r>
        <w:rPr>
          <w:vertAlign w:val="superscript"/>
        </w:rPr>
        <w:t xml:space="preserve">2</w:t>
      </w:r>
      <w:r>
        <w:t xml:space="preserve"> </w:t>
      </w:r>
      <w:r>
        <w:t xml:space="preserve">= 0.764). The overall RMSE is 0.129 and the overall percent bias (pbias) is -5.6%.</w:t>
      </w:r>
    </w:p>
    <w:p>
      <w:pPr>
        <w:pStyle w:val="BodyText"/>
      </w:pPr>
      <w:r>
        <w:t xml:space="preserve">Model performance metrics across various classifications are summarized in</w:t>
      </w:r>
      <w:r>
        <w:t xml:space="preserve"> </w:t>
      </w:r>
      <w:hyperlink w:anchor="tbl-performance">
        <w:r>
          <w:rPr>
            <w:rStyle w:val="Hyperlink"/>
          </w:rPr>
          <w:t xml:space="preserve">Table 4</w:t>
        </w:r>
      </w:hyperlink>
      <w:r>
        <w:t xml:space="preserve">. These metrics show consistent model performance across spatial and climatic classifications. However, the negative pbias values across all classifications indicate a systematic underprediction of annual BFI. Categories with relatively lower R</w:t>
      </w:r>
      <w:r>
        <w:rPr>
          <w:vertAlign w:val="superscript"/>
        </w:rPr>
        <w:t xml:space="preserve">2</w:t>
      </w:r>
      <w:r>
        <w:t xml:space="preserve"> </w:t>
      </w:r>
      <w:r>
        <w:t xml:space="preserve">and Nash-Sutcliffe Efficiency (NSE) values also exhibit higher biases, reflecting weaker model performance in those contexts.</w:t>
      </w:r>
    </w:p>
    <w:tbl>
      <w:tblPr>
        <w:tblStyle w:val="Table"/>
        <w:tblW w:type="pct" w:w="5000"/>
        <w:tblLayout w:type="fixed"/>
        <w:tblLook w:firstRow="0" w:lastRow="0" w:firstColumn="0" w:lastColumn="0" w:noHBand="0" w:noVBand="0" w:val="0000"/>
      </w:tblPr>
      <w:tblGrid>
        <w:gridCol w:w="7920"/>
      </w:tblGrid>
      <w:tr>
        <w:tc>
          <w:tcPr/>
          <w:bookmarkStart w:id="56" w:name="fig-actual_predicted"/>
          <w:p>
            <w:pPr>
              <w:pStyle w:val="Compact"/>
              <w:jc w:val="center"/>
            </w:pPr>
            <w:r>
              <w:drawing>
                <wp:inline>
                  <wp:extent cx="5334000" cy="3810000"/>
                  <wp:effectExtent b="0" l="0" r="0" t="0"/>
                  <wp:docPr descr="" title="" id="54" name="Picture"/>
                  <a:graphic>
                    <a:graphicData uri="http://schemas.openxmlformats.org/drawingml/2006/picture">
                      <pic:pic>
                        <pic:nvPicPr>
                          <pic:cNvPr descr="images/actual-predicted.png" id="55" name="Picture"/>
                          <pic:cNvPicPr>
                            <a:picLocks noChangeArrowheads="1" noChangeAspect="1"/>
                          </pic:cNvPicPr>
                        </pic:nvPicPr>
                        <pic:blipFill>
                          <a:blip r:embed="rId5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Linear relationship between observed BFI and predicted BFI. The solid line is the 1:1 line, the dashed, green line is regressed to the data.</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tbl-performance"/>
          <w:p>
            <w:pPr>
              <w:jc w:val="center"/>
            </w:pPr>
            <w:pPr>
              <w:jc w:val="start"/>
              <w:spacing w:before="200"/>
              <w:pStyle w:val="ImageCaption"/>
            </w:pPr>
            <w:r>
              <w:t xml:space="preserve">Table 4: Performance of model predictions for annual BFI for all sites split by various classifications. n is number of observations, R</w:t>
            </w:r>
            <w:r>
              <w:rPr>
                <w:vertAlign w:val="superscript"/>
              </w:rPr>
              <w:t xml:space="preserve">2</w:t>
            </w:r>
            <w:r>
              <w:t xml:space="preserve"> </w:t>
            </w:r>
            <w:r>
              <w:t xml:space="preserve">is the coefficient of determination of a linear regression, MSE is mean-squared-error, RMSE is root-mean-squared-error, MAE is mean-absolute-error, NSE is Nash-Sutcliffe efficiency, and pbias is percent bias.</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R2</w:t>
                  </w:r>
                </w:p>
              </w:tc>
              <w:tc>
                <w:tcPr/>
                <w:p>
                  <w:pPr>
                    <w:pStyle w:val="Compact"/>
                    <w:jc w:val="center"/>
                  </w:pPr>
                  <w:r>
                    <w:rPr>
                      <w:b/>
                      <w:bCs/>
                    </w:rPr>
                    <w:t xml:space="preserve">MSE</w:t>
                  </w:r>
                </w:p>
              </w:tc>
              <w:tc>
                <w:tcPr/>
                <w:p>
                  <w:pPr>
                    <w:pStyle w:val="Compact"/>
                    <w:jc w:val="center"/>
                  </w:pPr>
                  <w:r>
                    <w:rPr>
                      <w:b/>
                      <w:bCs/>
                    </w:rPr>
                    <w:t xml:space="preserve">RMSE</w:t>
                  </w:r>
                </w:p>
              </w:tc>
              <w:tc>
                <w:tcPr/>
                <w:p>
                  <w:pPr>
                    <w:pStyle w:val="Compact"/>
                    <w:jc w:val="center"/>
                  </w:pPr>
                  <w:r>
                    <w:rPr>
                      <w:b/>
                      <w:bCs/>
                    </w:rPr>
                    <w:t xml:space="preserve">MAE</w:t>
                  </w:r>
                </w:p>
              </w:tc>
              <w:tc>
                <w:tcPr/>
                <w:p>
                  <w:pPr>
                    <w:pStyle w:val="Compact"/>
                    <w:jc w:val="center"/>
                  </w:pPr>
                  <w:r>
                    <w:rPr>
                      <w:b/>
                      <w:bCs/>
                    </w:rPr>
                    <w:t xml:space="preserve">NSE</w:t>
                  </w:r>
                </w:p>
              </w:tc>
              <w:tc>
                <w:tcPr/>
                <w:p>
                  <w:pPr>
                    <w:pStyle w:val="Compact"/>
                    <w:jc w:val="center"/>
                  </w:pPr>
                  <w:r>
                    <w:rPr>
                      <w:b/>
                      <w:bCs/>
                    </w:rPr>
                    <w:t xml:space="preserve">pbias</w:t>
                  </w:r>
                </w:p>
              </w:tc>
            </w:tr>
            <w:tr>
              <w:tc>
                <w:tcPr/>
                <w:p>
                  <w:pPr>
                    <w:pStyle w:val="Compact"/>
                    <w:jc w:val="center"/>
                  </w:pPr>
                  <w:r>
                    <w:t xml:space="preserve">Full Dataset</w:t>
                  </w:r>
                </w:p>
              </w:tc>
              <w:tc>
                <w:tcPr/>
                <w:p>
                  <w:pPr>
                    <w:pStyle w:val="Compact"/>
                    <w:jc w:val="center"/>
                  </w:pPr>
                  <w:r>
                    <w:t xml:space="preserve">7724</w:t>
                  </w:r>
                </w:p>
              </w:tc>
              <w:tc>
                <w:tcPr/>
                <w:p>
                  <w:pPr>
                    <w:pStyle w:val="Compact"/>
                    <w:jc w:val="center"/>
                  </w:pPr>
                  <w:r>
                    <w:t xml:space="preserve">0.764</w:t>
                  </w:r>
                </w:p>
              </w:tc>
              <w:tc>
                <w:tcPr/>
                <w:p>
                  <w:pPr>
                    <w:pStyle w:val="Compact"/>
                    <w:jc w:val="center"/>
                  </w:pPr>
                  <w:r>
                    <w:t xml:space="preserve">0.015</w:t>
                  </w:r>
                </w:p>
              </w:tc>
              <w:tc>
                <w:tcPr/>
                <w:p>
                  <w:pPr>
                    <w:pStyle w:val="Compact"/>
                    <w:jc w:val="center"/>
                  </w:pPr>
                  <w:r>
                    <w:t xml:space="preserve">0.122</w:t>
                  </w:r>
                </w:p>
              </w:tc>
              <w:tc>
                <w:tcPr/>
                <w:p>
                  <w:pPr>
                    <w:pStyle w:val="Compact"/>
                    <w:jc w:val="center"/>
                  </w:pPr>
                  <w:r>
                    <w:t xml:space="preserve">0.081</w:t>
                  </w:r>
                </w:p>
              </w:tc>
              <w:tc>
                <w:tcPr/>
                <w:p>
                  <w:pPr>
                    <w:pStyle w:val="Compact"/>
                    <w:jc w:val="center"/>
                  </w:pPr>
                  <w:r>
                    <w:t xml:space="preserve">0.752</w:t>
                  </w:r>
                </w:p>
              </w:tc>
              <w:tc>
                <w:tcPr/>
                <w:p>
                  <w:pPr>
                    <w:pStyle w:val="Compact"/>
                    <w:jc w:val="center"/>
                  </w:pPr>
                  <w:r>
                    <w:t xml:space="preserve">-5.6</w:t>
                  </w:r>
                </w:p>
              </w:tc>
            </w:tr>
            <w:tr>
              <w:tc>
                <w:tcPr/>
                <w:p>
                  <w:pPr>
                    <w:pStyle w:val="Compact"/>
                    <w:jc w:val="center"/>
                  </w:pPr>
                  <w:r>
                    <w:t xml:space="preserve">linear model</w:t>
                  </w:r>
                </w:p>
              </w:tc>
              <w:tc>
                <w:tcPr/>
                <w:p>
                  <w:pPr>
                    <w:pStyle w:val="Compact"/>
                    <w:jc w:val="center"/>
                  </w:pPr>
                  <w:r>
                    <w:t xml:space="preserve">7724</w:t>
                  </w:r>
                </w:p>
              </w:tc>
              <w:tc>
                <w:tcPr/>
                <w:p>
                  <w:pPr>
                    <w:pStyle w:val="Compact"/>
                    <w:jc w:val="center"/>
                  </w:pPr>
                  <w:r>
                    <w:t xml:space="preserve">0.248</w:t>
                  </w:r>
                </w:p>
              </w:tc>
              <w:tc>
                <w:tcPr/>
                <w:p>
                  <w:pPr>
                    <w:pStyle w:val="Compact"/>
                    <w:jc w:val="center"/>
                  </w:pPr>
                  <w:r>
                    <w:t xml:space="preserve">0.046</w:t>
                  </w:r>
                </w:p>
              </w:tc>
              <w:tc>
                <w:tcPr/>
                <w:p>
                  <w:pPr>
                    <w:pStyle w:val="Compact"/>
                    <w:jc w:val="center"/>
                  </w:pPr>
                  <w:r>
                    <w:t xml:space="preserve">0.214</w:t>
                  </w:r>
                </w:p>
              </w:tc>
              <w:tc>
                <w:tcPr/>
                <w:p>
                  <w:pPr>
                    <w:pStyle w:val="Compact"/>
                    <w:jc w:val="center"/>
                  </w:pPr>
                  <w:r>
                    <w:t xml:space="preserve">0.173</w:t>
                  </w:r>
                </w:p>
              </w:tc>
              <w:tc>
                <w:tcPr/>
                <w:p>
                  <w:pPr>
                    <w:pStyle w:val="Compact"/>
                    <w:jc w:val="center"/>
                  </w:pPr>
                  <w:r>
                    <w:t xml:space="preserve">0.247</w:t>
                  </w:r>
                </w:p>
              </w:tc>
              <w:tc>
                <w:tcPr/>
                <w:p>
                  <w:pPr>
                    <w:pStyle w:val="Compact"/>
                    <w:jc w:val="center"/>
                  </w:pPr>
                  <w:r>
                    <w:t xml:space="preserve">~ 0</w:t>
                  </w:r>
                </w:p>
              </w:tc>
            </w:tr>
            <w:tr>
              <w:tc>
                <w:tcPr/>
                <w:p>
                  <w:pPr>
                    <w:pStyle w:val="Compact"/>
                    <w:jc w:val="center"/>
                  </w:pPr>
                  <w:r>
                    <w:t xml:space="preserve">Inverse Distance Weighted (LOO CV)</w:t>
                  </w:r>
                </w:p>
              </w:tc>
              <w:tc>
                <w:tcPr/>
                <w:p>
                  <w:pPr>
                    <w:pStyle w:val="Compact"/>
                    <w:jc w:val="center"/>
                  </w:pPr>
                  <w:r>
                    <w:t xml:space="preserve">7724</w:t>
                  </w:r>
                </w:p>
              </w:tc>
              <w:tc>
                <w:tcPr/>
                <w:p>
                  <w:pPr>
                    <w:pStyle w:val="Compact"/>
                    <w:jc w:val="center"/>
                  </w:pPr>
                  <w:r>
                    <w:t xml:space="preserve">0.449</w:t>
                  </w:r>
                </w:p>
              </w:tc>
              <w:tc>
                <w:tcPr/>
                <w:p>
                  <w:pPr>
                    <w:pStyle w:val="Compact"/>
                    <w:jc w:val="center"/>
                  </w:pPr>
                  <w:r>
                    <w:t xml:space="preserve">0.029</w:t>
                  </w:r>
                </w:p>
              </w:tc>
              <w:tc>
                <w:tcPr/>
                <w:p>
                  <w:pPr>
                    <w:pStyle w:val="Compact"/>
                    <w:jc w:val="center"/>
                  </w:pPr>
                  <w:r>
                    <w:t xml:space="preserve">0.170</w:t>
                  </w:r>
                </w:p>
              </w:tc>
              <w:tc>
                <w:tcPr/>
                <w:p>
                  <w:pPr>
                    <w:pStyle w:val="Compact"/>
                    <w:jc w:val="center"/>
                  </w:pPr>
                  <w:r>
                    <w:t xml:space="preserve">0.131</w:t>
                  </w:r>
                </w:p>
              </w:tc>
              <w:tc>
                <w:tcPr/>
                <w:p>
                  <w:pPr>
                    <w:pStyle w:val="Compact"/>
                    <w:jc w:val="center"/>
                  </w:pPr>
                  <w:r>
                    <w:t xml:space="preserve">0.448</w:t>
                  </w:r>
                </w:p>
              </w:tc>
              <w:tc>
                <w:tcPr/>
                <w:p>
                  <w:pPr>
                    <w:pStyle w:val="Compact"/>
                    <w:jc w:val="center"/>
                  </w:pPr>
                  <w:r>
                    <w:t xml:space="preserve">1.86</w:t>
                  </w:r>
                </w:p>
              </w:tc>
            </w:tr>
            <w:tr>
              <w:tc>
                <w:tcPr/>
                <w:p>
                  <w:pPr>
                    <w:pStyle w:val="Compact"/>
                    <w:jc w:val="center"/>
                  </w:pPr>
                  <w:r>
                    <w:t xml:space="preserve">Climate - Monsoon Dominated</w:t>
                  </w:r>
                </w:p>
              </w:tc>
              <w:tc>
                <w:tcPr/>
                <w:p>
                  <w:pPr>
                    <w:pStyle w:val="Compact"/>
                    <w:jc w:val="center"/>
                  </w:pPr>
                  <w:r>
                    <w:t xml:space="preserve">3039</w:t>
                  </w:r>
                </w:p>
              </w:tc>
              <w:tc>
                <w:tcPr/>
                <w:p>
                  <w:pPr>
                    <w:pStyle w:val="Compact"/>
                    <w:jc w:val="center"/>
                  </w:pPr>
                  <w:r>
                    <w:t xml:space="preserve">0.633</w:t>
                  </w:r>
                </w:p>
              </w:tc>
              <w:tc>
                <w:tcPr/>
                <w:p>
                  <w:pPr>
                    <w:pStyle w:val="Compact"/>
                    <w:jc w:val="center"/>
                  </w:pPr>
                  <w:r>
                    <w:t xml:space="preserve">0.016</w:t>
                  </w:r>
                </w:p>
              </w:tc>
              <w:tc>
                <w:tcPr/>
                <w:p>
                  <w:pPr>
                    <w:pStyle w:val="Compact"/>
                    <w:jc w:val="center"/>
                  </w:pPr>
                  <w:r>
                    <w:t xml:space="preserve">0.126</w:t>
                  </w:r>
                </w:p>
              </w:tc>
              <w:tc>
                <w:tcPr/>
                <w:p>
                  <w:pPr>
                    <w:pStyle w:val="Compact"/>
                    <w:jc w:val="center"/>
                  </w:pPr>
                  <w:r>
                    <w:t xml:space="preserve">0.074</w:t>
                  </w:r>
                </w:p>
              </w:tc>
              <w:tc>
                <w:tcPr/>
                <w:p>
                  <w:pPr>
                    <w:pStyle w:val="Compact"/>
                    <w:jc w:val="center"/>
                  </w:pPr>
                  <w:r>
                    <w:t xml:space="preserve">0.619</w:t>
                  </w:r>
                </w:p>
              </w:tc>
              <w:tc>
                <w:tcPr/>
                <w:p>
                  <w:pPr>
                    <w:pStyle w:val="Compact"/>
                    <w:jc w:val="center"/>
                  </w:pPr>
                  <w:r>
                    <w:t xml:space="preserve">-13.7</w:t>
                  </w:r>
                </w:p>
              </w:tc>
            </w:tr>
            <w:tr>
              <w:tc>
                <w:tcPr/>
                <w:p>
                  <w:pPr>
                    <w:pStyle w:val="Compact"/>
                    <w:jc w:val="center"/>
                  </w:pPr>
                  <w:r>
                    <w:t xml:space="preserve">Climate - Snowmelt Dominated</w:t>
                  </w:r>
                </w:p>
              </w:tc>
              <w:tc>
                <w:tcPr/>
                <w:p>
                  <w:pPr>
                    <w:pStyle w:val="Compact"/>
                    <w:jc w:val="center"/>
                  </w:pPr>
                  <w:r>
                    <w:t xml:space="preserve">4685</w:t>
                  </w:r>
                </w:p>
              </w:tc>
              <w:tc>
                <w:tcPr/>
                <w:p>
                  <w:pPr>
                    <w:pStyle w:val="Compact"/>
                    <w:jc w:val="center"/>
                  </w:pPr>
                  <w:r>
                    <w:t xml:space="preserve">0.733</w:t>
                  </w:r>
                </w:p>
              </w:tc>
              <w:tc>
                <w:tcPr/>
                <w:p>
                  <w:pPr>
                    <w:pStyle w:val="Compact"/>
                    <w:jc w:val="center"/>
                  </w:pPr>
                  <w:r>
                    <w:t xml:space="preserve">0.015</w:t>
                  </w:r>
                </w:p>
              </w:tc>
              <w:tc>
                <w:tcPr/>
                <w:p>
                  <w:pPr>
                    <w:pStyle w:val="Compact"/>
                    <w:jc w:val="center"/>
                  </w:pPr>
                  <w:r>
                    <w:t xml:space="preserve">0.121</w:t>
                  </w:r>
                </w:p>
              </w:tc>
              <w:tc>
                <w:tcPr/>
                <w:p>
                  <w:pPr>
                    <w:pStyle w:val="Compact"/>
                    <w:jc w:val="center"/>
                  </w:pPr>
                  <w:r>
                    <w:t xml:space="preserve">0.087</w:t>
                  </w:r>
                </w:p>
              </w:tc>
              <w:tc>
                <w:tcPr/>
                <w:p>
                  <w:pPr>
                    <w:pStyle w:val="Compact"/>
                    <w:jc w:val="center"/>
                  </w:pPr>
                  <w:r>
                    <w:t xml:space="preserve">0.725</w:t>
                  </w:r>
                </w:p>
              </w:tc>
              <w:tc>
                <w:tcPr/>
                <w:p>
                  <w:pPr>
                    <w:pStyle w:val="Compact"/>
                    <w:jc w:val="center"/>
                  </w:pPr>
                  <w:r>
                    <w:t xml:space="preserve">-3.5</w:t>
                  </w:r>
                </w:p>
              </w:tc>
            </w:tr>
            <w:tr>
              <w:tc>
                <w:tcPr/>
                <w:p>
                  <w:pPr>
                    <w:pStyle w:val="Compact"/>
                    <w:jc w:val="center"/>
                  </w:pPr>
                  <w:r>
                    <w:t xml:space="preserve">PhysRegion - Basin&amp;Range</w:t>
                  </w:r>
                </w:p>
              </w:tc>
              <w:tc>
                <w:tcPr/>
                <w:p>
                  <w:pPr>
                    <w:pStyle w:val="Compact"/>
                    <w:jc w:val="center"/>
                  </w:pPr>
                  <w:r>
                    <w:t xml:space="preserve">6147</w:t>
                  </w:r>
                </w:p>
              </w:tc>
              <w:tc>
                <w:tcPr/>
                <w:p>
                  <w:pPr>
                    <w:pStyle w:val="Compact"/>
                    <w:jc w:val="center"/>
                  </w:pPr>
                  <w:r>
                    <w:t xml:space="preserve">0.733</w:t>
                  </w:r>
                </w:p>
              </w:tc>
              <w:tc>
                <w:tcPr/>
                <w:p>
                  <w:pPr>
                    <w:pStyle w:val="Compact"/>
                    <w:jc w:val="center"/>
                  </w:pPr>
                  <w:r>
                    <w:t xml:space="preserve">0.016</w:t>
                  </w:r>
                </w:p>
              </w:tc>
              <w:tc>
                <w:tcPr/>
                <w:p>
                  <w:pPr>
                    <w:pStyle w:val="Compact"/>
                    <w:jc w:val="center"/>
                  </w:pPr>
                  <w:r>
                    <w:t xml:space="preserve">0.127</w:t>
                  </w:r>
                </w:p>
              </w:tc>
              <w:tc>
                <w:tcPr/>
                <w:p>
                  <w:pPr>
                    <w:pStyle w:val="Compact"/>
                    <w:jc w:val="center"/>
                  </w:pPr>
                  <w:r>
                    <w:t xml:space="preserve">0.084</w:t>
                  </w:r>
                </w:p>
              </w:tc>
              <w:tc>
                <w:tcPr/>
                <w:p>
                  <w:pPr>
                    <w:pStyle w:val="Compact"/>
                    <w:jc w:val="center"/>
                  </w:pPr>
                  <w:r>
                    <w:t xml:space="preserve">0.724</w:t>
                  </w:r>
                </w:p>
              </w:tc>
              <w:tc>
                <w:tcPr/>
                <w:p>
                  <w:pPr>
                    <w:pStyle w:val="Compact"/>
                    <w:jc w:val="center"/>
                  </w:pPr>
                  <w:r>
                    <w:t xml:space="preserve">-6.3</w:t>
                  </w:r>
                </w:p>
              </w:tc>
            </w:tr>
            <w:tr>
              <w:tc>
                <w:tcPr/>
                <w:p>
                  <w:pPr>
                    <w:pStyle w:val="Compact"/>
                    <w:jc w:val="center"/>
                  </w:pPr>
                  <w:r>
                    <w:t xml:space="preserve">PhysRegion - CO Plateau</w:t>
                  </w:r>
                </w:p>
              </w:tc>
              <w:tc>
                <w:tcPr/>
                <w:p>
                  <w:pPr>
                    <w:pStyle w:val="Compact"/>
                    <w:jc w:val="center"/>
                  </w:pPr>
                  <w:r>
                    <w:t xml:space="preserve">1577</w:t>
                  </w:r>
                </w:p>
              </w:tc>
              <w:tc>
                <w:tcPr/>
                <w:p>
                  <w:pPr>
                    <w:pStyle w:val="Compact"/>
                    <w:jc w:val="center"/>
                  </w:pPr>
                  <w:r>
                    <w:t xml:space="preserve">0.846</w:t>
                  </w:r>
                </w:p>
              </w:tc>
              <w:tc>
                <w:tcPr/>
                <w:p>
                  <w:pPr>
                    <w:pStyle w:val="Compact"/>
                    <w:jc w:val="center"/>
                  </w:pPr>
                  <w:r>
                    <w:t xml:space="preserve">0.011</w:t>
                  </w:r>
                </w:p>
              </w:tc>
              <w:tc>
                <w:tcPr/>
                <w:p>
                  <w:pPr>
                    <w:pStyle w:val="Compact"/>
                    <w:jc w:val="center"/>
                  </w:pPr>
                  <w:r>
                    <w:t xml:space="preserve">0.104</w:t>
                  </w:r>
                </w:p>
              </w:tc>
              <w:tc>
                <w:tcPr/>
                <w:p>
                  <w:pPr>
                    <w:pStyle w:val="Compact"/>
                    <w:jc w:val="center"/>
                  </w:pPr>
                  <w:r>
                    <w:t xml:space="preserve">0.073</w:t>
                  </w:r>
                </w:p>
              </w:tc>
              <w:tc>
                <w:tcPr/>
                <w:p>
                  <w:pPr>
                    <w:pStyle w:val="Compact"/>
                    <w:jc w:val="center"/>
                  </w:pPr>
                  <w:r>
                    <w:t xml:space="preserve">0.843</w:t>
                  </w:r>
                </w:p>
              </w:tc>
              <w:tc>
                <w:tcPr/>
                <w:p>
                  <w:pPr>
                    <w:pStyle w:val="Compact"/>
                    <w:jc w:val="center"/>
                  </w:pPr>
                  <w:r>
                    <w:t xml:space="preserve">-3.8</w:t>
                  </w:r>
                </w:p>
              </w:tc>
            </w:tr>
            <w:tr>
              <w:tc>
                <w:tcPr/>
                <w:p>
                  <w:pPr>
                    <w:pStyle w:val="Compact"/>
                    <w:jc w:val="center"/>
                  </w:pPr>
                  <w:r>
                    <w:t xml:space="preserve">Climate - Warm-Wet</w:t>
                  </w:r>
                </w:p>
              </w:tc>
              <w:tc>
                <w:tcPr/>
                <w:p>
                  <w:pPr>
                    <w:pStyle w:val="Compact"/>
                    <w:jc w:val="center"/>
                  </w:pPr>
                  <w:r>
                    <w:t xml:space="preserve">1506</w:t>
                  </w:r>
                </w:p>
              </w:tc>
              <w:tc>
                <w:tcPr/>
                <w:p>
                  <w:pPr>
                    <w:pStyle w:val="Compact"/>
                    <w:jc w:val="center"/>
                  </w:pPr>
                  <w:r>
                    <w:t xml:space="preserve">0.693</w:t>
                  </w:r>
                </w:p>
              </w:tc>
              <w:tc>
                <w:tcPr/>
                <w:p>
                  <w:pPr>
                    <w:pStyle w:val="Compact"/>
                    <w:jc w:val="center"/>
                  </w:pPr>
                  <w:r>
                    <w:t xml:space="preserve">0.014</w:t>
                  </w:r>
                </w:p>
              </w:tc>
              <w:tc>
                <w:tcPr/>
                <w:p>
                  <w:pPr>
                    <w:pStyle w:val="Compact"/>
                    <w:jc w:val="center"/>
                  </w:pPr>
                  <w:r>
                    <w:t xml:space="preserve">0.117</w:t>
                  </w:r>
                </w:p>
              </w:tc>
              <w:tc>
                <w:tcPr/>
                <w:p>
                  <w:pPr>
                    <w:pStyle w:val="Compact"/>
                    <w:jc w:val="center"/>
                  </w:pPr>
                  <w:r>
                    <w:t xml:space="preserve">0.077</w:t>
                  </w:r>
                </w:p>
              </w:tc>
              <w:tc>
                <w:tcPr/>
                <w:p>
                  <w:pPr>
                    <w:pStyle w:val="Compact"/>
                    <w:jc w:val="center"/>
                  </w:pPr>
                  <w:r>
                    <w:t xml:space="preserve">0.685</w:t>
                  </w:r>
                </w:p>
              </w:tc>
              <w:tc>
                <w:tcPr/>
                <w:p>
                  <w:pPr>
                    <w:pStyle w:val="Compact"/>
                    <w:jc w:val="center"/>
                  </w:pPr>
                  <w:r>
                    <w:t xml:space="preserve">-8.2</w:t>
                  </w:r>
                </w:p>
              </w:tc>
            </w:tr>
            <w:tr>
              <w:tc>
                <w:tcPr/>
                <w:p>
                  <w:pPr>
                    <w:pStyle w:val="Compact"/>
                    <w:jc w:val="center"/>
                  </w:pPr>
                  <w:r>
                    <w:t xml:space="preserve">Climate - Warm-Dry</w:t>
                  </w:r>
                </w:p>
              </w:tc>
              <w:tc>
                <w:tcPr/>
                <w:p>
                  <w:pPr>
                    <w:pStyle w:val="Compact"/>
                    <w:jc w:val="center"/>
                  </w:pPr>
                  <w:r>
                    <w:t xml:space="preserve">2351</w:t>
                  </w:r>
                </w:p>
              </w:tc>
              <w:tc>
                <w:tcPr/>
                <w:p>
                  <w:pPr>
                    <w:pStyle w:val="Compact"/>
                    <w:jc w:val="center"/>
                  </w:pPr>
                  <w:r>
                    <w:t xml:space="preserve">0.693</w:t>
                  </w:r>
                </w:p>
              </w:tc>
              <w:tc>
                <w:tcPr/>
                <w:p>
                  <w:pPr>
                    <w:pStyle w:val="Compact"/>
                    <w:jc w:val="center"/>
                  </w:pPr>
                  <w:r>
                    <w:t xml:space="preserve">0.022</w:t>
                  </w:r>
                </w:p>
              </w:tc>
              <w:tc>
                <w:tcPr/>
                <w:p>
                  <w:pPr>
                    <w:pStyle w:val="Compact"/>
                    <w:jc w:val="center"/>
                  </w:pPr>
                  <w:r>
                    <w:t xml:space="preserve">0.147</w:t>
                  </w:r>
                </w:p>
              </w:tc>
              <w:tc>
                <w:tcPr/>
                <w:p>
                  <w:pPr>
                    <w:pStyle w:val="Compact"/>
                    <w:jc w:val="center"/>
                  </w:pPr>
                  <w:r>
                    <w:t xml:space="preserve">0.092</w:t>
                  </w:r>
                </w:p>
              </w:tc>
              <w:tc>
                <w:tcPr/>
                <w:p>
                  <w:pPr>
                    <w:pStyle w:val="Compact"/>
                    <w:jc w:val="center"/>
                  </w:pPr>
                  <w:r>
                    <w:t xml:space="preserve">0.675</w:t>
                  </w:r>
                </w:p>
              </w:tc>
              <w:tc>
                <w:tcPr/>
                <w:p>
                  <w:pPr>
                    <w:pStyle w:val="Compact"/>
                    <w:jc w:val="center"/>
                  </w:pPr>
                  <w:r>
                    <w:t xml:space="preserve">-11.9</w:t>
                  </w:r>
                </w:p>
              </w:tc>
            </w:tr>
            <w:tr>
              <w:tc>
                <w:tcPr/>
                <w:p>
                  <w:pPr>
                    <w:pStyle w:val="Compact"/>
                    <w:jc w:val="center"/>
                  </w:pPr>
                  <w:r>
                    <w:t xml:space="preserve">Climate - Cool-Wet</w:t>
                  </w:r>
                </w:p>
              </w:tc>
              <w:tc>
                <w:tcPr/>
                <w:p>
                  <w:pPr>
                    <w:pStyle w:val="Compact"/>
                    <w:jc w:val="center"/>
                  </w:pPr>
                  <w:r>
                    <w:t xml:space="preserve">2350</w:t>
                  </w:r>
                </w:p>
              </w:tc>
              <w:tc>
                <w:tcPr/>
                <w:p>
                  <w:pPr>
                    <w:pStyle w:val="Compact"/>
                    <w:jc w:val="center"/>
                  </w:pPr>
                  <w:r>
                    <w:t xml:space="preserve">0.738</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0.078</w:t>
                  </w:r>
                </w:p>
              </w:tc>
              <w:tc>
                <w:tcPr/>
                <w:p>
                  <w:pPr>
                    <w:pStyle w:val="Compact"/>
                    <w:jc w:val="center"/>
                  </w:pPr>
                  <w:r>
                    <w:t xml:space="preserve">0.736</w:t>
                  </w:r>
                </w:p>
              </w:tc>
              <w:tc>
                <w:tcPr/>
                <w:p>
                  <w:pPr>
                    <w:pStyle w:val="Compact"/>
                    <w:jc w:val="center"/>
                  </w:pPr>
                  <w:r>
                    <w:t xml:space="preserve">-1.7</w:t>
                  </w:r>
                </w:p>
              </w:tc>
            </w:tr>
            <w:tr>
              <w:tc>
                <w:tcPr/>
                <w:p>
                  <w:pPr>
                    <w:pStyle w:val="Compact"/>
                    <w:jc w:val="center"/>
                  </w:pPr>
                  <w:r>
                    <w:t xml:space="preserve">Climate - Cool-Dry</w:t>
                  </w:r>
                </w:p>
              </w:tc>
              <w:tc>
                <w:tcPr/>
                <w:p>
                  <w:pPr>
                    <w:pStyle w:val="Compact"/>
                    <w:jc w:val="center"/>
                  </w:pPr>
                  <w:r>
                    <w:t xml:space="preserve">1517</w:t>
                  </w:r>
                </w:p>
              </w:tc>
              <w:tc>
                <w:tcPr/>
                <w:p>
                  <w:pPr>
                    <w:pStyle w:val="Compact"/>
                    <w:jc w:val="center"/>
                  </w:pPr>
                  <w:r>
                    <w:t xml:space="preserve">0.831</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0.078</w:t>
                  </w:r>
                </w:p>
              </w:tc>
              <w:tc>
                <w:tcPr/>
                <w:p>
                  <w:pPr>
                    <w:pStyle w:val="Compact"/>
                    <w:jc w:val="center"/>
                  </w:pPr>
                  <w:r>
                    <w:t xml:space="preserve">0.827</w:t>
                  </w:r>
                </w:p>
              </w:tc>
              <w:tc>
                <w:tcPr/>
                <w:p>
                  <w:pPr>
                    <w:pStyle w:val="Compact"/>
                    <w:jc w:val="center"/>
                  </w:pPr>
                  <w:r>
                    <w:t xml:space="preserve">-4.3</w:t>
                  </w:r>
                </w:p>
              </w:tc>
            </w:tr>
            <w:tr>
              <w:tc>
                <w:tcPr/>
                <w:p>
                  <w:pPr>
                    <w:pStyle w:val="Compact"/>
                    <w:jc w:val="center"/>
                  </w:pPr>
                  <w:r>
                    <w:t xml:space="preserve">Slope - High</w:t>
                  </w:r>
                </w:p>
              </w:tc>
              <w:tc>
                <w:tcPr/>
                <w:p>
                  <w:pPr>
                    <w:pStyle w:val="Compact"/>
                    <w:jc w:val="center"/>
                  </w:pPr>
                  <w:r>
                    <w:t xml:space="preserve">3795</w:t>
                  </w:r>
                </w:p>
              </w:tc>
              <w:tc>
                <w:tcPr/>
                <w:p>
                  <w:pPr>
                    <w:pStyle w:val="Compact"/>
                    <w:jc w:val="center"/>
                  </w:pPr>
                  <w:r>
                    <w:t xml:space="preserve">0.776</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0.079</w:t>
                  </w:r>
                </w:p>
              </w:tc>
              <w:tc>
                <w:tcPr/>
                <w:p>
                  <w:pPr>
                    <w:pStyle w:val="Compact"/>
                    <w:jc w:val="center"/>
                  </w:pPr>
                  <w:r>
                    <w:t xml:space="preserve">0.771</w:t>
                  </w:r>
                </w:p>
              </w:tc>
              <w:tc>
                <w:tcPr/>
                <w:p>
                  <w:pPr>
                    <w:pStyle w:val="Compact"/>
                    <w:jc w:val="center"/>
                  </w:pPr>
                  <w:r>
                    <w:t xml:space="preserve">-3.3</w:t>
                  </w:r>
                </w:p>
              </w:tc>
            </w:tr>
            <w:tr>
              <w:tc>
                <w:tcPr/>
                <w:p>
                  <w:pPr>
                    <w:pStyle w:val="Compact"/>
                    <w:jc w:val="center"/>
                  </w:pPr>
                  <w:r>
                    <w:t xml:space="preserve">Slope - Low</w:t>
                  </w:r>
                </w:p>
              </w:tc>
              <w:tc>
                <w:tcPr/>
                <w:p>
                  <w:pPr>
                    <w:pStyle w:val="Compact"/>
                    <w:jc w:val="center"/>
                  </w:pPr>
                  <w:r>
                    <w:t xml:space="preserve">3929</w:t>
                  </w:r>
                </w:p>
              </w:tc>
              <w:tc>
                <w:tcPr/>
                <w:p>
                  <w:pPr>
                    <w:pStyle w:val="Compact"/>
                    <w:jc w:val="center"/>
                  </w:pPr>
                  <w:r>
                    <w:t xml:space="preserve">0.724</w:t>
                  </w:r>
                </w:p>
              </w:tc>
              <w:tc>
                <w:tcPr/>
                <w:p>
                  <w:pPr>
                    <w:pStyle w:val="Compact"/>
                    <w:jc w:val="center"/>
                  </w:pPr>
                  <w:r>
                    <w:t xml:space="preserve">0.018</w:t>
                  </w:r>
                </w:p>
              </w:tc>
              <w:tc>
                <w:tcPr/>
                <w:p>
                  <w:pPr>
                    <w:pStyle w:val="Compact"/>
                    <w:jc w:val="center"/>
                  </w:pPr>
                  <w:r>
                    <w:t xml:space="preserve">0.133</w:t>
                  </w:r>
                </w:p>
              </w:tc>
              <w:tc>
                <w:tcPr/>
                <w:p>
                  <w:pPr>
                    <w:pStyle w:val="Compact"/>
                    <w:jc w:val="center"/>
                  </w:pPr>
                  <w:r>
                    <w:t xml:space="preserve">0.085</w:t>
                  </w:r>
                </w:p>
              </w:tc>
              <w:tc>
                <w:tcPr/>
                <w:p>
                  <w:pPr>
                    <w:pStyle w:val="Compact"/>
                    <w:jc w:val="center"/>
                  </w:pPr>
                  <w:r>
                    <w:t xml:space="preserve">0.713</w:t>
                  </w:r>
                </w:p>
              </w:tc>
              <w:tc>
                <w:tcPr/>
                <w:p>
                  <w:pPr>
                    <w:pStyle w:val="Compact"/>
                    <w:jc w:val="center"/>
                  </w:pPr>
                  <w:r>
                    <w:t xml:space="preserve">-9.1</w:t>
                  </w:r>
                </w:p>
              </w:tc>
            </w:tr>
          </w:tbl>
          <w:bookmarkEnd w:id="57"/>
          <w:p/>
        </w:tc>
      </w:tr>
    </w:tbl>
    <w:bookmarkEnd w:id="58"/>
    <w:bookmarkStart w:id="63" w:name="sec-predictor-importance"/>
    <w:p>
      <w:pPr>
        <w:pStyle w:val="Heading4"/>
      </w:pPr>
      <w:r>
        <w:t xml:space="preserve">Predictor Importance</w:t>
      </w:r>
    </w:p>
    <w:p>
      <w:pPr>
        <w:pStyle w:val="FirstParagraph"/>
      </w:pPr>
      <w:r>
        <w:t xml:space="preserve">The predictors used to estimate annual BFI at ungauged sites were evaluated for their importance in the final XGBoost model, as illustrated in</w:t>
      </w:r>
      <w:r>
        <w:t xml:space="preserve"> </w:t>
      </w:r>
      <w:hyperlink w:anchor="fig-shap_values">
        <w:r>
          <w:rPr>
            <w:rStyle w:val="Hyperlink"/>
          </w:rPr>
          <w:t xml:space="preserve">Figure 6</w:t>
        </w:r>
      </w:hyperlink>
      <w:r>
        <w:t xml:space="preserve">. The most influential feature for predicting annual BFI is basin elevation. While elevation itself does not directly affect base-flow characteristics, it has consistently been identified as a key predictor in previous BFI studies</w:t>
      </w:r>
      <w:r>
        <w:t xml:space="preserve"> </w:t>
      </w:r>
      <w:r>
        <w:t xml:space="preserve">(Singh et al. 2018; Beck et al. 2013)</w:t>
      </w:r>
      <w:r>
        <w:t xml:space="preserve">. The importance of elevation aligns with findings from</w:t>
      </w:r>
      <w:r>
        <w:t xml:space="preserve"> </w:t>
      </w:r>
      <w:r>
        <w:t xml:space="preserve">Beck et al. (2013)</w:t>
      </w:r>
      <w:r>
        <w:t xml:space="preserve">, highlighting its role as a proxy for climate variables such as temperature, precipitation, and snowpack duration. Seasonal snowpack duration, in particular, has been shown to strongly correlate with springflow and groundwater recharge in this region</w:t>
      </w:r>
      <w:r>
        <w:t xml:space="preserve"> </w:t>
      </w:r>
      <w:r>
        <w:t xml:space="preserve">(Donovan et al. 2022)</w:t>
      </w:r>
      <w:r>
        <w:t xml:space="preserve">.</w:t>
      </w:r>
    </w:p>
    <w:tbl>
      <w:tblPr>
        <w:tblStyle w:val="Table"/>
        <w:tblW w:type="pct" w:w="5000"/>
        <w:tblLayout w:type="fixed"/>
        <w:tblLook w:firstRow="0" w:lastRow="0" w:firstColumn="0" w:lastColumn="0" w:noHBand="0" w:noVBand="0" w:val="0000"/>
      </w:tblPr>
      <w:tblGrid>
        <w:gridCol w:w="7920"/>
      </w:tblGrid>
      <w:tr>
        <w:tc>
          <w:tcPr/>
          <w:bookmarkStart w:id="62" w:name="fig-shap_values"/>
          <w:p>
            <w:pPr>
              <w:pStyle w:val="Compact"/>
              <w:jc w:val="center"/>
            </w:pPr>
            <w:r>
              <w:drawing>
                <wp:inline>
                  <wp:extent cx="5334000" cy="3810000"/>
                  <wp:effectExtent b="0" l="0" r="0" t="0"/>
                  <wp:docPr descr="" title="" id="60" name="Picture"/>
                  <a:graphic>
                    <a:graphicData uri="http://schemas.openxmlformats.org/drawingml/2006/picture">
                      <pic:pic>
                        <pic:nvPicPr>
                          <pic:cNvPr descr="images/shap_summary.png" id="61" name="Picture"/>
                          <pic:cNvPicPr>
                            <a:picLocks noChangeArrowheads="1" noChangeAspect="1"/>
                          </pic:cNvPicPr>
                        </pic:nvPicPr>
                        <pic:blipFill>
                          <a:blip r:embed="rId5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 value plot of features used in final model. The number to the right of the feature name is the mean absolute SHAP value. Land cover features are indicated by the percentage of cover by each land cover type and soil types are defined by hydrologic soil group.</w:t>
            </w:r>
          </w:p>
          <w:bookmarkEnd w:id="62"/>
        </w:tc>
      </w:tr>
    </w:tbl>
    <w:p>
      <w:pPr>
        <w:pStyle w:val="BodyText"/>
      </w:pPr>
      <w:r>
        <w:t xml:space="preserve">Land cover and land use predictors also play a significant role in annual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negatively influence BFI. In contrast, Soil Type A, which has low runoff potential and facilitates rapid water infiltration, exhibits a mixed influence</w:t>
      </w:r>
      <w:r>
        <w:t xml:space="preserve"> </w:t>
      </w:r>
      <w:r>
        <w:t xml:space="preserve">(USDA 2009)</w:t>
      </w:r>
      <w:r>
        <w:t xml:space="preserve">.</w:t>
      </w:r>
    </w:p>
    <w:bookmarkEnd w:id="63"/>
    <w:bookmarkStart w:id="68" w:name="predicted-bfi-in-ungauged-basins"/>
    <w:p>
      <w:pPr>
        <w:pStyle w:val="Heading4"/>
      </w:pPr>
      <w:r>
        <w:t xml:space="preserve">Predicted BFI in Ungauged Basins</w:t>
      </w:r>
    </w:p>
    <w:p>
      <w:pPr>
        <w:pStyle w:val="FirstParagraph"/>
      </w:pPr>
      <w:r>
        <w:t xml:space="preserve">Predicted long-term BFI (1991–2020) across Arizona’s HUC-8 basins is shown in</w:t>
      </w:r>
      <w:r>
        <w:t xml:space="preserve"> </w:t>
      </w:r>
      <w:hyperlink w:anchor="fig-bfi-huc">
        <w:r>
          <w:rPr>
            <w:rStyle w:val="Hyperlink"/>
          </w:rPr>
          <w:t xml:space="preserve">Figure 7</w:t>
        </w:r>
      </w:hyperlink>
      <w:r>
        <w:t xml:space="preserve">.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type="pct" w:w="5000"/>
        <w:tblLayout w:type="fixed"/>
        <w:tblLook w:firstRow="0" w:lastRow="0" w:firstColumn="0" w:lastColumn="0" w:noHBand="0" w:noVBand="0" w:val="0000"/>
      </w:tblPr>
      <w:tblGrid>
        <w:gridCol w:w="7920"/>
      </w:tblGrid>
      <w:tr>
        <w:tc>
          <w:tcPr/>
          <w:bookmarkStart w:id="67" w:name="fig-bfi-huc"/>
          <w:p>
            <w:pPr>
              <w:pStyle w:val="Compact"/>
              <w:jc w:val="center"/>
            </w:pPr>
            <w:r>
              <w:drawing>
                <wp:inline>
                  <wp:extent cx="5334000" cy="6565563"/>
                  <wp:effectExtent b="0" l="0" r="0" t="0"/>
                  <wp:docPr descr="" title="" id="65" name="Picture"/>
                  <a:graphic>
                    <a:graphicData uri="http://schemas.openxmlformats.org/drawingml/2006/picture">
                      <pic:pic>
                        <pic:nvPicPr>
                          <pic:cNvPr descr="images/BFI_HUC8_20250525.png" id="66" name="Picture"/>
                          <pic:cNvPicPr>
                            <a:picLocks noChangeArrowheads="1" noChangeAspect="1"/>
                          </pic:cNvPicPr>
                        </pic:nvPicPr>
                        <pic:blipFill>
                          <a:blip r:embed="rId64"/>
                          <a:stretch>
                            <a:fillRect/>
                          </a:stretch>
                        </pic:blipFill>
                        <pic:spPr bwMode="auto">
                          <a:xfrm>
                            <a:off x="0" y="0"/>
                            <a:ext cx="5334000" cy="656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Predicted long-term BFI values for 8-digit HUC (1991-2020). Bolded HUCs indicate those without a streamgage.</w:t>
            </w:r>
          </w:p>
          <w:bookmarkEnd w:id="67"/>
        </w:tc>
      </w:tr>
    </w:tbl>
    <w:bookmarkEnd w:id="68"/>
    <w:bookmarkEnd w:id="69"/>
    <w:bookmarkEnd w:id="70"/>
    <w:bookmarkStart w:id="71" w:name="discussion"/>
    <w:p>
      <w:pPr>
        <w:pStyle w:val="Heading2"/>
      </w:pPr>
      <w:r>
        <w:t xml:space="preserve">Discussion</w:t>
      </w:r>
    </w:p>
    <w:p>
      <w:pPr>
        <w:pStyle w:val="FirstParagraph"/>
      </w:pPr>
      <w:r>
        <w:t xml:space="preserve">The existing streamgage networks in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w:t>
      </w:r>
      <w:r>
        <w:t xml:space="preserve"> </w:t>
      </w:r>
      <w:r>
        <w:t xml:space="preserve">(Maricopa County 2020)</w:t>
      </w:r>
      <w:r>
        <w:t xml:space="preserve">.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pPr>
        <w:pStyle w:val="BodyText"/>
      </w:pPr>
      <w:r>
        <w:t xml:space="preserve">Given the limited coverage provided by existing gauges, a common issue in arid and semi-arid regions globally</w:t>
      </w:r>
      <w:r>
        <w:t xml:space="preserve"> </w:t>
      </w:r>
      <w:r>
        <w:t xml:space="preserve">(Krabbenhoft et al. 2022)</w:t>
      </w:r>
      <w:r>
        <w:t xml:space="preserve">,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pPr>
        <w:pStyle w:val="BodyText"/>
      </w:pPr>
      <w:r>
        <w:t xml:space="preserve">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baseflow contributions. Land cover and soil properties further modulate these processes; areas with high-infiltration soils and perennial vegetation are more conducive to sustained baseflow, while impervious surfaces and fine-grained soils suppress it. The downstream decline in BFI</w:t>
      </w:r>
      <w:r>
        <w:t xml:space="preserve"> </w:t>
      </w:r>
      <w:hyperlink w:anchor="fig-instrumented-bfi">
        <w:r>
          <w:rPr>
            <w:rStyle w:val="Hyperlink"/>
          </w:rPr>
          <w:t xml:space="preserve">Figure 3</w:t>
        </w:r>
      </w:hyperlink>
      <w:r>
        <w:t xml:space="preserve"> </w:t>
      </w:r>
      <w:r>
        <w:t xml:space="preserve">is consistent with the transition from headwater recharge zones to more arid, losing stream reaches, highlighting the importance of hydrogeologic setting in shaping baseflow dynamics</w:t>
      </w:r>
      <w:r>
        <w:t xml:space="preserve"> </w:t>
      </w:r>
      <w:r>
        <w:t xml:space="preserve">(Winter 2007)</w:t>
      </w:r>
      <w:r>
        <w:t xml:space="preserve">.</w:t>
      </w:r>
    </w:p>
    <w:p>
      <w:pPr>
        <w:pStyle w:val="BodyText"/>
      </w:pPr>
      <w:r>
        <w:t xml:space="preserve">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pPr>
        <w:pStyle w:val="BodyText"/>
      </w:pPr>
      <w:r>
        <w:t xml:space="preserve">Elevation emerged as the most significant predictor, reinforcing its established role as a proxy for climate conditions influencing groundwater recharge. This aligns with findings from previous studies conducted in diverse landscapes, including New Zealand</w:t>
      </w:r>
      <w:r>
        <w:t xml:space="preserve"> </w:t>
      </w:r>
      <w:r>
        <w:t xml:space="preserve">(Singh et al. 2018)</w:t>
      </w:r>
      <w:r>
        <w:t xml:space="preserve">, across CONUS</w:t>
      </w:r>
      <w:r>
        <w:t xml:space="preserve"> </w:t>
      </w:r>
      <w:r>
        <w:t xml:space="preserve">(Santhi et al. 2008)</w:t>
      </w:r>
      <w:r>
        <w:t xml:space="preserve">, and globally</w:t>
      </w:r>
      <w:r>
        <w:t xml:space="preserve"> </w:t>
      </w:r>
      <w:r>
        <w:t xml:space="preserve">(Beck et al. 2013)</w:t>
      </w:r>
      <w:r>
        <w:t xml:space="preserve">. The mixed influence observed for Soil Type A indicates complexity in infiltration dynamics, suggesting that future research could benefit from explicitly incorporating temporal variables such as snowpack duration, soil moisture, and detailed land-cover characteristics.</w:t>
      </w:r>
    </w:p>
    <w:p>
      <w:pPr>
        <w:pStyle w:val="BodyText"/>
      </w:pPr>
      <w:r>
        <w:t xml:space="preserve">The reduced predictor set was selected to maximize interpretability and minimize overfitting. However, incorporating additional variables could improve model performance, especially in capturing regionally complex baseflow dynamics. Subsurface hydrologic characteristics, such as aquifer properties, groundwater depth, and spring density, are known to influence baseflow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pPr>
        <w:pStyle w:val="BodyText"/>
      </w:pPr>
      <w:r>
        <w:t xml:space="preserve">Several previous studies have examined regional and continental patterns of BFI, offering useful context for our findings despite limited geographic overlap.</w:t>
      </w:r>
      <w:r>
        <w:t xml:space="preserve"> </w:t>
      </w:r>
      <w:r>
        <w:t xml:space="preserve">Beck et al. (2013)</w:t>
      </w:r>
      <w:r>
        <w:t xml:space="preserve"> </w:t>
      </w:r>
      <w:r>
        <w:t xml:space="preserve">developed a global map of BFI using an artificial neural network trained on 1,862 U.S. streamgages from the MOPEX dataset</w:t>
      </w:r>
      <w:r>
        <w:t xml:space="preserve"> </w:t>
      </w:r>
      <w:r>
        <w:t xml:space="preserve">(Schaake, Cong, and Duan 2006)</w:t>
      </w:r>
      <w:r>
        <w:t xml:space="preserve">. Only ten of these gauges overlap with our Arizona study area, limiting direct comparison. Nonetheless, the spatial distribution of BFI in Arizona from</w:t>
      </w:r>
      <w:r>
        <w:t xml:space="preserve"> </w:t>
      </w:r>
      <w:r>
        <w:t xml:space="preserve">Beck et al. (2013)</w:t>
      </w:r>
      <w:r>
        <w:t xml:space="preserve"> </w:t>
      </w:r>
      <w:r>
        <w:t xml:space="preserve">shows general agreement with our regional patterns. The higher BFI values reported by</w:t>
      </w:r>
      <w:r>
        <w:t xml:space="preserve"> </w:t>
      </w:r>
      <w:r>
        <w:t xml:space="preserve">Beck et al. (2013)</w:t>
      </w:r>
      <w:r>
        <w:t xml:space="preserve"> </w:t>
      </w:r>
      <w:r>
        <w:t xml:space="preserve">may reflect the influence of their global-scale ANN model and associated generalizations. Similarly,</w:t>
      </w:r>
      <w:r>
        <w:t xml:space="preserve"> </w:t>
      </w:r>
      <w:r>
        <w:t xml:space="preserve">Ayers et al. (2022)</w:t>
      </w:r>
      <w:r>
        <w:t xml:space="preserve"> </w:t>
      </w:r>
      <w:r>
        <w:t xml:space="preserve">examined base-flow dynamics using GAGES-II sites across CONUS, but their study included few gauges within Arizona. While exact locations are not specified, their published figures suggests regional agreement with our estimated BFI distributions.</w:t>
      </w:r>
      <w:r>
        <w:t xml:space="preserve"> </w:t>
      </w:r>
      <w:r>
        <w:t xml:space="preserve">Santhi et al. (2008)</w:t>
      </w:r>
      <w:r>
        <w:t xml:space="preserve"> </w:t>
      </w:r>
      <w:r>
        <w:t xml:space="preserve">employed interpolation methods for regional base-flow estimation across CONUS; however, the lack of gauge-level detail limits direct comparison.</w:t>
      </w:r>
    </w:p>
    <w:p>
      <w:pPr>
        <w:pStyle w:val="BodyText"/>
      </w:pPr>
      <w:r>
        <w:t xml:space="preserve">In terms of long-term trends, our results align directionally with</w:t>
      </w:r>
      <w:r>
        <w:t xml:space="preserve"> </w:t>
      </w:r>
      <w:r>
        <w:t xml:space="preserve">Ayers et al. (2022)</w:t>
      </w:r>
      <w:r>
        <w:t xml:space="preserve"> </w:t>
      </w:r>
      <w:r>
        <w:t xml:space="preserve">, who found consistent monthly declines in base flow from 1989–2019 across the U.S. 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contributions to streamflow are declining in many parts of the region.</w:t>
      </w:r>
    </w:p>
    <w:p>
      <w:pPr>
        <w:pStyle w:val="BodyText"/>
      </w:pPr>
      <w:r>
        <w:t xml:space="preserve">The combined use of long-term baseflow trend analysis and XGBoost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around the world remain under-instrumented, with sparse monitoring networks and limited long-term streamflow records, despite facing acute water scarcity and growing pressure on groundwater systems</w:t>
      </w:r>
      <w:r>
        <w:t xml:space="preserve"> </w:t>
      </w:r>
      <w:r>
        <w:t xml:space="preserve">(Taylor et al. 2013)</w:t>
      </w:r>
      <w:r>
        <w:t xml:space="preserve">.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bookmarkEnd w:id="71"/>
    <w:bookmarkStart w:id="72" w:name="conclusions"/>
    <w:p>
      <w:pPr>
        <w:pStyle w:val="Heading2"/>
      </w:pPr>
      <w:r>
        <w:t xml:space="preserve">Conclusions</w:t>
      </w:r>
    </w:p>
    <w:p>
      <w:pPr>
        <w:pStyle w:val="FirstParagraph"/>
      </w:pPr>
      <w:r>
        <w:t xml:space="preserve">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groundwater-surface water interactions, whereas areas such as the Defiance Plateau and southern Arizona show consistently lower BFI values, reflecting limited groundwater contributions.</w:t>
      </w:r>
    </w:p>
    <w:p>
      <w:pPr>
        <w:pStyle w:val="BodyText"/>
      </w:pPr>
      <w:r>
        <w:t xml:space="preserve">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pPr>
        <w:pStyle w:val="BodyText"/>
      </w:pPr>
      <w:r>
        <w:t xml:space="preserve">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bookmarkEnd w:id="72"/>
    <w:bookmarkStart w:id="177" w:name="references"/>
    <w:p>
      <w:pPr>
        <w:pStyle w:val="Heading2"/>
      </w:pPr>
      <w:r>
        <w:t xml:space="preserve">References</w:t>
      </w:r>
    </w:p>
    <w:bookmarkStart w:id="176" w:name="refs"/>
    <w:bookmarkStart w:id="74" w:name="ref-abatzoglou2018"/>
    <w:p>
      <w:pPr>
        <w:pStyle w:val="Bibliography"/>
      </w:pPr>
      <w:r>
        <w:t xml:space="preserve">Abatzoglou, John T. et al. 2018.</w:t>
      </w:r>
      <w:r>
        <w:t xml:space="preserve"> </w:t>
      </w:r>
      <w:r>
        <w:t xml:space="preserve">“TerraClimate, a High-Resolution Global Dataset of Monthly Climate and Climatic Water Balance from 1958</w:t>
      </w:r>
      <w:r>
        <w:t xml:space="preserve">2015.”</w:t>
      </w:r>
      <w:r>
        <w:t xml:space="preserve"> </w:t>
      </w:r>
      <w:r>
        <w:rPr>
          <w:i/>
          <w:iCs/>
        </w:rPr>
        <w:t xml:space="preserve">Scientific Data</w:t>
      </w:r>
      <w:r>
        <w:t xml:space="preserve"> </w:t>
      </w:r>
      <w:r>
        <w:t xml:space="preserve">5 (1): 170191.</w:t>
      </w:r>
      <w:r>
        <w:t xml:space="preserve"> </w:t>
      </w:r>
      <w:hyperlink r:id="rId73">
        <w:r>
          <w:rPr>
            <w:rStyle w:val="Hyperlink"/>
          </w:rPr>
          <w:t xml:space="preserve">https://doi.org/10.1038/sdata.2017.191</w:t>
        </w:r>
      </w:hyperlink>
      <w:r>
        <w:t xml:space="preserve">.</w:t>
      </w:r>
    </w:p>
    <w:bookmarkEnd w:id="74"/>
    <w:bookmarkStart w:id="76" w:name="ref-ahiablame2013"/>
    <w:p>
      <w:pPr>
        <w:pStyle w:val="Bibliography"/>
      </w:pPr>
      <w:r>
        <w:t xml:space="preserve">Ahiablame, Laurent et al. 2013.</w:t>
      </w:r>
      <w:r>
        <w:t xml:space="preserve"> </w:t>
      </w:r>
      <w:r>
        <w:t xml:space="preserve">“Estimation of Annual Baseflow at Ungauged Sites in Indiana USA.”</w:t>
      </w:r>
      <w:r>
        <w:t xml:space="preserve"> </w:t>
      </w:r>
      <w:r>
        <w:rPr>
          <w:i/>
          <w:iCs/>
        </w:rPr>
        <w:t xml:space="preserve">Journal of Hydrology</w:t>
      </w:r>
      <w:r>
        <w:t xml:space="preserve"> </w:t>
      </w:r>
      <w:r>
        <w:t xml:space="preserve">476: 13–27.</w:t>
      </w:r>
      <w:r>
        <w:t xml:space="preserve"> </w:t>
      </w:r>
      <w:hyperlink r:id="rId75">
        <w:r>
          <w:rPr>
            <w:rStyle w:val="Hyperlink"/>
          </w:rPr>
          <w:t xml:space="preserve">https://doi.org/10.1016/j.jhydrol.2012.10.002</w:t>
        </w:r>
      </w:hyperlink>
      <w:r>
        <w:t xml:space="preserve">.</w:t>
      </w:r>
    </w:p>
    <w:bookmarkEnd w:id="76"/>
    <w:bookmarkStart w:id="78" w:name="ref-az_climate2024"/>
    <w:p>
      <w:pPr>
        <w:pStyle w:val="Bibliography"/>
      </w:pPr>
      <w:r>
        <w:t xml:space="preserve">Arizona State Climate Office. 2024.</w:t>
      </w:r>
      <w:r>
        <w:t xml:space="preserve"> </w:t>
      </w:r>
      <w:r>
        <w:t xml:space="preserve">“</w:t>
      </w:r>
      <w:r>
        <w:t xml:space="preserve">Climate of Arizona</w:t>
      </w:r>
      <w:r>
        <w:t xml:space="preserve">.”</w:t>
      </w:r>
      <w:r>
        <w:t xml:space="preserve"> </w:t>
      </w:r>
      <w:hyperlink r:id="rId77">
        <w:r>
          <w:rPr>
            <w:rStyle w:val="Hyperlink"/>
          </w:rPr>
          <w:t xml:space="preserve">https://globalfutures.asu.edu/azclimate/climate/</w:t>
        </w:r>
      </w:hyperlink>
      <w:r>
        <w:t xml:space="preserve">.</w:t>
      </w:r>
    </w:p>
    <w:bookmarkEnd w:id="78"/>
    <w:bookmarkStart w:id="80" w:name="ref-arnold1995"/>
    <w:p>
      <w:pPr>
        <w:pStyle w:val="Bibliography"/>
      </w:pPr>
      <w:r>
        <w:t xml:space="preserve">Arnold, J. G. et al. 1995.</w:t>
      </w:r>
      <w:r>
        <w:t xml:space="preserve"> </w:t>
      </w:r>
      <w:r>
        <w:t xml:space="preserve">“Automated Base Flow Separation and Recession Analysis Techniques.”</w:t>
      </w:r>
      <w:r>
        <w:t xml:space="preserve"> </w:t>
      </w:r>
      <w:r>
        <w:rPr>
          <w:i/>
          <w:iCs/>
        </w:rPr>
        <w:t xml:space="preserve">Ground Water</w:t>
      </w:r>
      <w:r>
        <w:t xml:space="preserve"> </w:t>
      </w:r>
      <w:r>
        <w:t xml:space="preserve">33 (6): 1010–18.</w:t>
      </w:r>
      <w:r>
        <w:t xml:space="preserve"> </w:t>
      </w:r>
      <w:hyperlink r:id="rId79">
        <w:r>
          <w:rPr>
            <w:rStyle w:val="Hyperlink"/>
          </w:rPr>
          <w:t xml:space="preserve">https://doi.org/10.1111/j.1745-6584.1995.tb00046.x</w:t>
        </w:r>
      </w:hyperlink>
      <w:r>
        <w:t xml:space="preserve">.</w:t>
      </w:r>
    </w:p>
    <w:bookmarkEnd w:id="80"/>
    <w:bookmarkStart w:id="82" w:name="ref-ARNOLD200021"/>
    <w:p>
      <w:pPr>
        <w:pStyle w:val="Bibliography"/>
      </w:pPr>
      <w:r>
        <w:t xml:space="preserve">——— et al. 2000.</w:t>
      </w:r>
      <w:r>
        <w:t xml:space="preserve"> </w:t>
      </w:r>
      <w:r>
        <w:t xml:space="preserve">“Regional Estimation of Base Flow and Groundwater Recharge in the Upper Mississippi River Basin.”</w:t>
      </w:r>
      <w:r>
        <w:t xml:space="preserve"> </w:t>
      </w:r>
      <w:r>
        <w:rPr>
          <w:i/>
          <w:iCs/>
        </w:rPr>
        <w:t xml:space="preserve">Journal of Hydrology</w:t>
      </w:r>
      <w:r>
        <w:t xml:space="preserve"> </w:t>
      </w:r>
      <w:r>
        <w:t xml:space="preserve">227 (1): 21–40. https://doi.org/</w:t>
      </w:r>
      <w:hyperlink r:id="rId81">
        <w:r>
          <w:rPr>
            <w:rStyle w:val="Hyperlink"/>
          </w:rPr>
          <w:t xml:space="preserve">https://doi.org/10.1016/S0022-1694(99)00139-0</w:t>
        </w:r>
      </w:hyperlink>
      <w:r>
        <w:t xml:space="preserve">.</w:t>
      </w:r>
    </w:p>
    <w:bookmarkEnd w:id="82"/>
    <w:bookmarkStart w:id="84" w:name="ref-ayers2019"/>
    <w:p>
      <w:pPr>
        <w:pStyle w:val="Bibliography"/>
      </w:pPr>
      <w:r>
        <w:t xml:space="preserve">Ayers, Jessica R., Gabriele Villarini, Christopher Jones, and Keith Schilling. 2019.</w:t>
      </w:r>
      <w:r>
        <w:t xml:space="preserve"> </w:t>
      </w:r>
      <w:r>
        <w:t xml:space="preserve">“Changes in Monthly Baseflow Across the U.S. Midwest.”</w:t>
      </w:r>
      <w:r>
        <w:t xml:space="preserve"> </w:t>
      </w:r>
      <w:r>
        <w:rPr>
          <w:i/>
          <w:iCs/>
        </w:rPr>
        <w:t xml:space="preserve">Hydrological Processes</w:t>
      </w:r>
      <w:r>
        <w:t xml:space="preserve"> </w:t>
      </w:r>
      <w:r>
        <w:t xml:space="preserve">33 (5): 748–58.</w:t>
      </w:r>
      <w:r>
        <w:t xml:space="preserve"> </w:t>
      </w:r>
      <w:hyperlink r:id="rId83">
        <w:r>
          <w:rPr>
            <w:rStyle w:val="Hyperlink"/>
          </w:rPr>
          <w:t xml:space="preserve">https://doi.org/10.1002/hyp.13359</w:t>
        </w:r>
      </w:hyperlink>
      <w:r>
        <w:t xml:space="preserve">.</w:t>
      </w:r>
    </w:p>
    <w:bookmarkEnd w:id="84"/>
    <w:bookmarkStart w:id="86" w:name="ref-ayers2022"/>
    <w:p>
      <w:pPr>
        <w:pStyle w:val="Bibliography"/>
      </w:pPr>
      <w:r>
        <w:t xml:space="preserve">Ayers, Jessica R., Gabriele Villarini, Keith Schilling, Christopher Jones, Andrea Brookfield, Samuel C. Zipper, and William H. Farmer. 2022.</w:t>
      </w:r>
      <w:r>
        <w:t xml:space="preserve"> </w:t>
      </w:r>
      <w:r>
        <w:t xml:space="preserve">“The Role of Climate in Monthly Baseflow Changes Across the Continental United States.”</w:t>
      </w:r>
      <w:r>
        <w:t xml:space="preserve"> </w:t>
      </w:r>
      <w:r>
        <w:rPr>
          <w:i/>
          <w:iCs/>
        </w:rPr>
        <w:t xml:space="preserve">Journal of Hydrologic Engineering</w:t>
      </w:r>
      <w:r>
        <w:t xml:space="preserve"> </w:t>
      </w:r>
      <w:r>
        <w:t xml:space="preserve">27 (5): 04022006.</w:t>
      </w:r>
      <w:r>
        <w:t xml:space="preserve"> </w:t>
      </w:r>
      <w:hyperlink r:id="rId85">
        <w:r>
          <w:rPr>
            <w:rStyle w:val="Hyperlink"/>
          </w:rPr>
          <w:t xml:space="preserve">https://doi.org/10.1061/(ASCE)HE.1943-5584.0002170</w:t>
        </w:r>
      </w:hyperlink>
      <w:r>
        <w:t xml:space="preserve">.</w:t>
      </w:r>
    </w:p>
    <w:bookmarkEnd w:id="86"/>
    <w:bookmarkStart w:id="88" w:name="ref-beck2013"/>
    <w:p>
      <w:pPr>
        <w:pStyle w:val="Bibliography"/>
      </w:pPr>
      <w:r>
        <w:t xml:space="preserve">Beck, Hylke E. et al. 2013.</w:t>
      </w:r>
      <w:r>
        <w:t xml:space="preserve"> </w:t>
      </w:r>
      <w:r>
        <w:t xml:space="preserve">“Global Patterns in Base Flow Index and Recession Based on Streamflow Observations from 3394 Catchments: Global Patterns in Base Flow Characteristics.”</w:t>
      </w:r>
      <w:r>
        <w:t xml:space="preserve"> </w:t>
      </w:r>
      <w:r>
        <w:rPr>
          <w:i/>
          <w:iCs/>
        </w:rPr>
        <w:t xml:space="preserve">Water Resources Research</w:t>
      </w:r>
      <w:r>
        <w:t xml:space="preserve"> </w:t>
      </w:r>
      <w:r>
        <w:t xml:space="preserve">49 (12): 7843–63.</w:t>
      </w:r>
      <w:r>
        <w:t xml:space="preserve"> </w:t>
      </w:r>
      <w:hyperlink r:id="rId87">
        <w:r>
          <w:rPr>
            <w:rStyle w:val="Hyperlink"/>
          </w:rPr>
          <w:t xml:space="preserve">https://doi.org/10.1002/2013WR013918</w:t>
        </w:r>
      </w:hyperlink>
      <w:r>
        <w:t xml:space="preserve">.</w:t>
      </w:r>
    </w:p>
    <w:bookmarkEnd w:id="88"/>
    <w:bookmarkStart w:id="90" w:name="ref-blanchard02"/>
    <w:p>
      <w:pPr>
        <w:pStyle w:val="Bibliography"/>
      </w:pPr>
      <w:r>
        <w:t xml:space="preserve">Blanchard, Paul J. 2002.</w:t>
      </w:r>
      <w:r>
        <w:t xml:space="preserve"> </w:t>
      </w:r>
      <w:r>
        <w:t xml:space="preserve">“Assessments of Aquifer Sensitivity on</w:t>
      </w:r>
      <w:r>
        <w:t xml:space="preserve"> </w:t>
      </w:r>
      <w:r>
        <w:t xml:space="preserve">Navajo Nation</w:t>
      </w:r>
      <w:r>
        <w:t xml:space="preserve"> </w:t>
      </w:r>
      <w:r>
        <w:t xml:space="preserve">and Adjacent Lands and Ground-Water Vulnerability to Pesticide Contamination on the</w:t>
      </w:r>
      <w:r>
        <w:t xml:space="preserve"> </w:t>
      </w:r>
      <w:r>
        <w:t xml:space="preserve">Navajo Indian Irrigation Project</w:t>
      </w:r>
      <w:r>
        <w:t xml:space="preserve">,</w:t>
      </w:r>
      <w:r>
        <w:t xml:space="preserve"> </w:t>
      </w:r>
      <w:r>
        <w:t xml:space="preserve">Arizona</w:t>
      </w:r>
      <w:r>
        <w:t xml:space="preserve">,</w:t>
      </w:r>
      <w:r>
        <w:t xml:space="preserve"> </w:t>
      </w:r>
      <w:r>
        <w:t xml:space="preserve">New Mexico</w:t>
      </w:r>
      <w:r>
        <w:t xml:space="preserve">, and</w:t>
      </w:r>
      <w:r>
        <w:t xml:space="preserve"> </w:t>
      </w:r>
      <w:r>
        <w:t xml:space="preserve">Utah</w:t>
      </w:r>
      <w:r>
        <w:t xml:space="preserve">.”</w:t>
      </w:r>
      <w:r>
        <w:t xml:space="preserve"> </w:t>
      </w:r>
      <w:r>
        <w:t xml:space="preserve">Water-Resources Investigations Report 02-4051.</w:t>
      </w:r>
      <w:r>
        <w:t xml:space="preserve"> </w:t>
      </w:r>
      <w:r>
        <w:t xml:space="preserve">USGS</w:t>
      </w:r>
      <w:r>
        <w:t xml:space="preserve">.</w:t>
      </w:r>
      <w:r>
        <w:t xml:space="preserve"> </w:t>
      </w:r>
      <w:hyperlink r:id="rId89">
        <w:r>
          <w:rPr>
            <w:rStyle w:val="Hyperlink"/>
          </w:rPr>
          <w:t xml:space="preserve">https://doi.org/10.3133/wri024051</w:t>
        </w:r>
      </w:hyperlink>
      <w:r>
        <w:t xml:space="preserve">.</w:t>
      </w:r>
    </w:p>
    <w:bookmarkEnd w:id="90"/>
    <w:bookmarkStart w:id="92" w:name="ref-bloomfield2009"/>
    <w:p>
      <w:pPr>
        <w:pStyle w:val="Bibliography"/>
      </w:pPr>
      <w:r>
        <w:t xml:space="preserve">Bloomfield, J. P. et al. 2009.</w:t>
      </w:r>
      <w:r>
        <w:t xml:space="preserve"> </w:t>
      </w:r>
      <w:r>
        <w:t xml:space="preserve">“Examining Geological Controls on Baseflow Index (BFI) Using Regression Analysis: An Illustration from the Thames Basin, UK.”</w:t>
      </w:r>
      <w:r>
        <w:t xml:space="preserve"> </w:t>
      </w:r>
      <w:r>
        <w:rPr>
          <w:i/>
          <w:iCs/>
        </w:rPr>
        <w:t xml:space="preserve">Journal of Hydrology</w:t>
      </w:r>
      <w:r>
        <w:t xml:space="preserve"> </w:t>
      </w:r>
      <w:r>
        <w:t xml:space="preserve">373 (1-2): 164–76.</w:t>
      </w:r>
      <w:r>
        <w:t xml:space="preserve"> </w:t>
      </w:r>
      <w:hyperlink r:id="rId91">
        <w:r>
          <w:rPr>
            <w:rStyle w:val="Hyperlink"/>
          </w:rPr>
          <w:t xml:space="preserve">https://doi.org/10.1016/j.jhydrol.2009.04.025</w:t>
        </w:r>
      </w:hyperlink>
      <w:r>
        <w:t xml:space="preserve">.</w:t>
      </w:r>
    </w:p>
    <w:bookmarkEnd w:id="92"/>
    <w:bookmarkStart w:id="94" w:name="ref-bosch2017"/>
    <w:p>
      <w:pPr>
        <w:pStyle w:val="Bibliography"/>
      </w:pPr>
      <w:r>
        <w:t xml:space="preserve">Bosch, David D. et al. 2017.</w:t>
      </w:r>
      <w:r>
        <w:t xml:space="preserve"> </w:t>
      </w:r>
      <w:r>
        <w:t xml:space="preserve">“Temporal Variations in Baseflow for the Little River Experimental Watershed in South Georgia, USA.”</w:t>
      </w:r>
      <w:r>
        <w:t xml:space="preserve"> </w:t>
      </w:r>
      <w:r>
        <w:rPr>
          <w:i/>
          <w:iCs/>
        </w:rPr>
        <w:t xml:space="preserve">Journal of Hydrology: Regional Studies</w:t>
      </w:r>
      <w:r>
        <w:t xml:space="preserve"> </w:t>
      </w:r>
      <w:r>
        <w:t xml:space="preserve">10 (April): 110–21.</w:t>
      </w:r>
      <w:r>
        <w:t xml:space="preserve"> </w:t>
      </w:r>
      <w:hyperlink r:id="rId93">
        <w:r>
          <w:rPr>
            <w:rStyle w:val="Hyperlink"/>
          </w:rPr>
          <w:t xml:space="preserve">https://doi.org/10.1016/j.ejrh.2017.02.002</w:t>
        </w:r>
      </w:hyperlink>
      <w:r>
        <w:t xml:space="preserve">.</w:t>
      </w:r>
    </w:p>
    <w:bookmarkEnd w:id="94"/>
    <w:bookmarkStart w:id="96" w:name="ref-buban_PRISM"/>
    <w:p>
      <w:pPr>
        <w:pStyle w:val="Bibliography"/>
      </w:pPr>
      <w:r>
        <w:t xml:space="preserve">Buban, Michael S. et al. 2020.</w:t>
      </w:r>
      <w:r>
        <w:t xml:space="preserve"> </w:t>
      </w:r>
      <w:r>
        <w:t xml:space="preserve">“A Comparison of the u.s. Climate Reference Network Precipitation Data to the Parameter-Elevation Regressions on Independent Slopes Model (PRISM).”</w:t>
      </w:r>
      <w:r>
        <w:t xml:space="preserve"> </w:t>
      </w:r>
      <w:r>
        <w:rPr>
          <w:i/>
          <w:iCs/>
        </w:rPr>
        <w:t xml:space="preserve">Journal of Hydrometeorology</w:t>
      </w:r>
      <w:r>
        <w:t xml:space="preserve"> </w:t>
      </w:r>
      <w:r>
        <w:t xml:space="preserve">21 (10): 2391–2400.</w:t>
      </w:r>
      <w:r>
        <w:t xml:space="preserve"> </w:t>
      </w:r>
      <w:hyperlink r:id="rId95">
        <w:r>
          <w:rPr>
            <w:rStyle w:val="Hyperlink"/>
          </w:rPr>
          <w:t xml:space="preserve">https://doi.org/10.1175/JHM-D-19-0232.1</w:t>
        </w:r>
      </w:hyperlink>
      <w:r>
        <w:t xml:space="preserve">.</w:t>
      </w:r>
    </w:p>
    <w:bookmarkEnd w:id="96"/>
    <w:bookmarkStart w:id="98" w:name="ref-chambless_deep-karst_2023"/>
    <w:p>
      <w:pPr>
        <w:pStyle w:val="Bibliography"/>
      </w:pPr>
      <w:r>
        <w:t xml:space="preserve">Chambless, Hannah E. et al. 2023.</w:t>
      </w:r>
      <w:r>
        <w:t xml:space="preserve"> </w:t>
      </w:r>
      <w:r>
        <w:t xml:space="preserve">“Deep-Karst Aquifer Spring-Flow Trends in a Water-Limited System, Grand Canyon National Park,</w:t>
      </w:r>
      <w:r>
        <w:t xml:space="preserve"> </w:t>
      </w:r>
      <w:r>
        <w:t xml:space="preserve">USA</w:t>
      </w:r>
      <w:r>
        <w:t xml:space="preserve">.”</w:t>
      </w:r>
      <w:r>
        <w:t xml:space="preserve"> </w:t>
      </w:r>
      <w:r>
        <w:rPr>
          <w:i/>
          <w:iCs/>
        </w:rPr>
        <w:t xml:space="preserve">Hydrogeology Journal</w:t>
      </w:r>
      <w:r>
        <w:t xml:space="preserve"> </w:t>
      </w:r>
      <w:r>
        <w:t xml:space="preserve">31 (7): 1755–71.</w:t>
      </w:r>
      <w:r>
        <w:t xml:space="preserve"> </w:t>
      </w:r>
      <w:hyperlink r:id="rId97">
        <w:r>
          <w:rPr>
            <w:rStyle w:val="Hyperlink"/>
          </w:rPr>
          <w:t xml:space="preserve">https://doi.org/10.1007/s10040-023-02702-w</w:t>
        </w:r>
      </w:hyperlink>
      <w:r>
        <w:t xml:space="preserve">.</w:t>
      </w:r>
    </w:p>
    <w:bookmarkEnd w:id="98"/>
    <w:bookmarkStart w:id="100" w:name="ref-chapman_1999"/>
    <w:p>
      <w:pPr>
        <w:pStyle w:val="Bibliography"/>
      </w:pPr>
      <w:r>
        <w:t xml:space="preserve">Chapman, Tom. 1999.</w:t>
      </w:r>
      <w:r>
        <w:t xml:space="preserve"> </w:t>
      </w:r>
      <w:r>
        <w:t xml:space="preserve">“A Comparison of Algorithms for Stream Flow Recession and Baseflow Separation.”</w:t>
      </w:r>
      <w:r>
        <w:t xml:space="preserve"> </w:t>
      </w:r>
      <w:r>
        <w:rPr>
          <w:i/>
          <w:iCs/>
        </w:rPr>
        <w:t xml:space="preserve">Hydrological Processes</w:t>
      </w:r>
      <w:r>
        <w:t xml:space="preserve"> </w:t>
      </w:r>
      <w:r>
        <w:t xml:space="preserve">13 (5): 701–14.</w:t>
      </w:r>
      <w:r>
        <w:t xml:space="preserve"> </w:t>
      </w:r>
      <w:hyperlink r:id="rId99">
        <w:r>
          <w:rPr>
            <w:rStyle w:val="Hyperlink"/>
          </w:rPr>
          <w:t xml:space="preserve">https://doi.org/10.1002/(SICI)1099-1085(19990415)13:5&lt;701::AID-HYP774&gt;3.0.CO;2-2</w:t>
        </w:r>
      </w:hyperlink>
      <w:r>
        <w:t xml:space="preserve">.</w:t>
      </w:r>
    </w:p>
    <w:bookmarkEnd w:id="100"/>
    <w:bookmarkStart w:id="101" w:name="ref-chen2016xgboost"/>
    <w:p>
      <w:pPr>
        <w:pStyle w:val="Bibliography"/>
      </w:pPr>
      <w:r>
        <w:t xml:space="preserve">Chen, Tianqi et al. 2016.</w:t>
      </w:r>
      <w:r>
        <w:t xml:space="preserve"> </w:t>
      </w:r>
      <w:r>
        <w:t xml:space="preserve">“Xgboost: A Scalable Tree Boosting System.”</w:t>
      </w:r>
      <w:r>
        <w:t xml:space="preserve"> </w:t>
      </w:r>
      <w:r>
        <w:t xml:space="preserve">In</w:t>
      </w:r>
      <w:r>
        <w:t xml:space="preserve"> </w:t>
      </w:r>
      <w:r>
        <w:rPr>
          <w:i/>
          <w:iCs/>
        </w:rPr>
        <w:t xml:space="preserve">Proceedings of the 22nd Acm Sigkdd International Conference on Knowledge Discovery and Data Mining</w:t>
      </w:r>
      <w:r>
        <w:t xml:space="preserve">, 785–94.</w:t>
      </w:r>
    </w:p>
    <w:bookmarkEnd w:id="101"/>
    <w:bookmarkStart w:id="103" w:name="ref-daly2008"/>
    <w:p>
      <w:pPr>
        <w:pStyle w:val="Bibliography"/>
      </w:pPr>
      <w:r>
        <w:t xml:space="preserve">Daly, Christopher et al. 2008.</w:t>
      </w:r>
      <w:r>
        <w:t xml:space="preserve"> </w:t>
      </w:r>
      <w:r>
        <w:t xml:space="preserve">“Physiographically Sensitive Mapping of Climatological Temperature and Precipitation Across the Conterminous United States.”</w:t>
      </w:r>
      <w:r>
        <w:t xml:space="preserve"> </w:t>
      </w:r>
      <w:r>
        <w:rPr>
          <w:i/>
          <w:iCs/>
        </w:rPr>
        <w:t xml:space="preserve">International Journal of Climatology</w:t>
      </w:r>
      <w:r>
        <w:t xml:space="preserve"> </w:t>
      </w:r>
      <w:r>
        <w:t xml:space="preserve">28 (15): 2031–64.</w:t>
      </w:r>
      <w:r>
        <w:t xml:space="preserve"> </w:t>
      </w:r>
      <w:hyperlink r:id="rId102">
        <w:r>
          <w:rPr>
            <w:rStyle w:val="Hyperlink"/>
          </w:rPr>
          <w:t xml:space="preserve">https://doi.org/10.1002/joc.1688</w:t>
        </w:r>
      </w:hyperlink>
      <w:r>
        <w:t xml:space="preserve">.</w:t>
      </w:r>
    </w:p>
    <w:bookmarkEnd w:id="103"/>
    <w:bookmarkStart w:id="105" w:name="ref-donovan_karst_2022"/>
    <w:p>
      <w:pPr>
        <w:pStyle w:val="Bibliography"/>
      </w:pPr>
      <w:r>
        <w:t xml:space="preserve">Donovan, Keegan M. et al. 2022.</w:t>
      </w:r>
      <w:r>
        <w:t xml:space="preserve"> </w:t>
      </w:r>
      <w:r>
        <w:t xml:space="preserve">“Karst Spring Processes and Storage Implications in High Elevation, Semiarid Southwestern United States.”</w:t>
      </w:r>
      <w:r>
        <w:t xml:space="preserve"> </w:t>
      </w:r>
      <w:r>
        <w:t xml:space="preserve">In</w:t>
      </w:r>
      <w:r>
        <w:t xml:space="preserve"> </w:t>
      </w:r>
      <w:r>
        <w:rPr>
          <w:i/>
          <w:iCs/>
        </w:rPr>
        <w:t xml:space="preserve">Geophysical Monograph Series</w:t>
      </w:r>
      <w:r>
        <w:t xml:space="preserve">, edited by Matthew J. Currell and Brian G. Katz, 1st ed., 35–50. Wiley.</w:t>
      </w:r>
      <w:r>
        <w:t xml:space="preserve"> </w:t>
      </w:r>
      <w:hyperlink r:id="rId104">
        <w:r>
          <w:rPr>
            <w:rStyle w:val="Hyperlink"/>
          </w:rPr>
          <w:t xml:space="preserve">https://doi.org/10.1002/9781119818625.ch4</w:t>
        </w:r>
      </w:hyperlink>
      <w:r>
        <w:t xml:space="preserve">.</w:t>
      </w:r>
    </w:p>
    <w:bookmarkEnd w:id="105"/>
    <w:bookmarkStart w:id="106" w:name="ref-durbin1950testing"/>
    <w:p>
      <w:pPr>
        <w:pStyle w:val="Bibliography"/>
      </w:pPr>
      <w:r>
        <w:t xml:space="preserve">Durbin, James, and Geoffrey S Watson. 1950.</w:t>
      </w:r>
      <w:r>
        <w:t xml:space="preserve"> </w:t>
      </w:r>
      <w:r>
        <w:t xml:space="preserve">“Testing for Serial Correlation in Least Squares Regression: i.”</w:t>
      </w:r>
      <w:r>
        <w:t xml:space="preserve"> </w:t>
      </w:r>
      <w:r>
        <w:rPr>
          <w:i/>
          <w:iCs/>
        </w:rPr>
        <w:t xml:space="preserve">Biometrika</w:t>
      </w:r>
      <w:r>
        <w:t xml:space="preserve"> </w:t>
      </w:r>
      <w:r>
        <w:t xml:space="preserve">37 (3/4): 409–28.</w:t>
      </w:r>
    </w:p>
    <w:bookmarkEnd w:id="106"/>
    <w:bookmarkStart w:id="108" w:name="ref-eastoe2019mtnblock"/>
    <w:p>
      <w:pPr>
        <w:pStyle w:val="Bibliography"/>
      </w:pPr>
      <w:r>
        <w:t xml:space="preserve">Eastoe, Christopher J. et al. 2019.</w:t>
      </w:r>
      <w:r>
        <w:t xml:space="preserve"> </w:t>
      </w:r>
      <w:r>
        <w:t xml:space="preserve">“Hydrology of Mountain Blocks in Arizona and New Mexico as Revealed by Isotopes in Groundwater and Precipitation.”</w:t>
      </w:r>
      <w:r>
        <w:t xml:space="preserve"> </w:t>
      </w:r>
      <w:r>
        <w:rPr>
          <w:i/>
          <w:iCs/>
        </w:rPr>
        <w:t xml:space="preserve">Geosciences</w:t>
      </w:r>
      <w:r>
        <w:t xml:space="preserve"> </w:t>
      </w:r>
      <w:r>
        <w:t xml:space="preserve">9 (11).</w:t>
      </w:r>
      <w:r>
        <w:t xml:space="preserve"> </w:t>
      </w:r>
      <w:hyperlink r:id="rId107">
        <w:r>
          <w:rPr>
            <w:rStyle w:val="Hyperlink"/>
          </w:rPr>
          <w:t xml:space="preserve">https://doi.org/10.3390/geosciences9110461</w:t>
        </w:r>
      </w:hyperlink>
      <w:r>
        <w:t xml:space="preserve">.</w:t>
      </w:r>
    </w:p>
    <w:bookmarkEnd w:id="108"/>
    <w:bookmarkStart w:id="110" w:name="ref-eckhardt2005"/>
    <w:p>
      <w:pPr>
        <w:pStyle w:val="Bibliography"/>
      </w:pPr>
      <w:r>
        <w:t xml:space="preserve">Eckhardt, K. 2005.</w:t>
      </w:r>
      <w:r>
        <w:t xml:space="preserve"> </w:t>
      </w:r>
      <w:r>
        <w:t xml:space="preserve">“How to Construct Recursive Digital Filters for Baseflow Separation.”</w:t>
      </w:r>
      <w:r>
        <w:t xml:space="preserve"> </w:t>
      </w:r>
      <w:r>
        <w:rPr>
          <w:i/>
          <w:iCs/>
        </w:rPr>
        <w:t xml:space="preserve">Hydrological Processes</w:t>
      </w:r>
      <w:r>
        <w:t xml:space="preserve"> </w:t>
      </w:r>
      <w:r>
        <w:t xml:space="preserve">19 (2): 507–15.</w:t>
      </w:r>
      <w:r>
        <w:t xml:space="preserve"> </w:t>
      </w:r>
      <w:hyperlink r:id="rId109">
        <w:r>
          <w:rPr>
            <w:rStyle w:val="Hyperlink"/>
          </w:rPr>
          <w:t xml:space="preserve">https://doi.org/10.1002/hyp.5675</w:t>
        </w:r>
      </w:hyperlink>
      <w:r>
        <w:t xml:space="preserve">.</w:t>
      </w:r>
    </w:p>
    <w:bookmarkEnd w:id="110"/>
    <w:bookmarkStart w:id="112" w:name="ref-eckhardt2008"/>
    <w:p>
      <w:pPr>
        <w:pStyle w:val="Bibliography"/>
      </w:pPr>
      <w:r>
        <w:t xml:space="preserve">———. 2008.</w:t>
      </w:r>
      <w:r>
        <w:t xml:space="preserve"> </w:t>
      </w:r>
      <w:r>
        <w:t xml:space="preserve">“A Comparison of Baseflow Indices, Which Were Calculated with Seven Different Baseflow Separation Methods.”</w:t>
      </w:r>
      <w:r>
        <w:t xml:space="preserve"> </w:t>
      </w:r>
      <w:r>
        <w:rPr>
          <w:i/>
          <w:iCs/>
        </w:rPr>
        <w:t xml:space="preserve">Journal of Hydrology</w:t>
      </w:r>
      <w:r>
        <w:t xml:space="preserve"> </w:t>
      </w:r>
      <w:r>
        <w:t xml:space="preserve">352 (1-2): 168–73.</w:t>
      </w:r>
      <w:r>
        <w:t xml:space="preserve"> </w:t>
      </w:r>
      <w:hyperlink r:id="rId111">
        <w:r>
          <w:rPr>
            <w:rStyle w:val="Hyperlink"/>
          </w:rPr>
          <w:t xml:space="preserve">https://doi.org/10.1016/j.jhydrol.2008.01.005</w:t>
        </w:r>
      </w:hyperlink>
      <w:r>
        <w:t xml:space="preserve">.</w:t>
      </w:r>
    </w:p>
    <w:bookmarkEnd w:id="112"/>
    <w:bookmarkStart w:id="114" w:name="ref-eckhardt2023"/>
    <w:p>
      <w:pPr>
        <w:pStyle w:val="Bibliography"/>
      </w:pPr>
      <w:r>
        <w:t xml:space="preserve">———. 2023.</w:t>
      </w:r>
      <w:r>
        <w:t xml:space="preserve"> </w:t>
      </w:r>
      <w:r>
        <w:t xml:space="preserve">“Technical Note: How Physically Based Is Hydrograph Separation by Recursive Digital Filtering?”</w:t>
      </w:r>
      <w:r>
        <w:t xml:space="preserve"> </w:t>
      </w:r>
      <w:r>
        <w:rPr>
          <w:i/>
          <w:iCs/>
        </w:rPr>
        <w:t xml:space="preserve">Hydrology and Earth System Sciences</w:t>
      </w:r>
      <w:r>
        <w:t xml:space="preserve"> </w:t>
      </w:r>
      <w:r>
        <w:t xml:space="preserve">27 (2): 495–99.</w:t>
      </w:r>
      <w:r>
        <w:t xml:space="preserve"> </w:t>
      </w:r>
      <w:hyperlink r:id="rId113">
        <w:r>
          <w:rPr>
            <w:rStyle w:val="Hyperlink"/>
          </w:rPr>
          <w:t xml:space="preserve">https://doi.org/10.5194/hess-27-495-2023</w:t>
        </w:r>
      </w:hyperlink>
      <w:r>
        <w:t xml:space="preserve">.</w:t>
      </w:r>
    </w:p>
    <w:bookmarkEnd w:id="114"/>
    <w:bookmarkStart w:id="115" w:name="ref-fekete2007"/>
    <w:p>
      <w:pPr>
        <w:pStyle w:val="Bibliography"/>
      </w:pPr>
      <w:r>
        <w:t xml:space="preserve">Fekete, Balázs M et al. 2007.</w:t>
      </w:r>
      <w:r>
        <w:t xml:space="preserve"> </w:t>
      </w:r>
      <w:r>
        <w:t xml:space="preserve">“The Current Status of Global River Discharge Monitoring and Potential New Technologies Complementing Traditional Discharge Measurements.”</w:t>
      </w:r>
      <w:r>
        <w:t xml:space="preserve"> </w:t>
      </w:r>
      <w:r>
        <w:rPr>
          <w:i/>
          <w:iCs/>
        </w:rPr>
        <w:t xml:space="preserve">IAHS Publications</w:t>
      </w:r>
      <w:r>
        <w:t xml:space="preserve">.</w:t>
      </w:r>
    </w:p>
    <w:bookmarkEnd w:id="115"/>
    <w:bookmarkStart w:id="117" w:name="ref-ficklin2016"/>
    <w:p>
      <w:pPr>
        <w:pStyle w:val="Bibliography"/>
      </w:pPr>
      <w:r>
        <w:t xml:space="preserve">Ficklin, Darren L. et al. 2016.</w:t>
      </w:r>
      <w:r>
        <w:t xml:space="preserve"> </w:t>
      </w:r>
      <w:r>
        <w:t xml:space="preserve">“Impacts of Recent Climate Change on Trends in Baseflow and Stormflow in United States Watersheds.”</w:t>
      </w:r>
      <w:r>
        <w:t xml:space="preserve"> </w:t>
      </w:r>
      <w:r>
        <w:rPr>
          <w:i/>
          <w:iCs/>
        </w:rPr>
        <w:t xml:space="preserve">Geophysical Research Letters</w:t>
      </w:r>
      <w:r>
        <w:t xml:space="preserve"> </w:t>
      </w:r>
      <w:r>
        <w:t xml:space="preserve">43 (10): 5079–88.</w:t>
      </w:r>
      <w:r>
        <w:t xml:space="preserve"> </w:t>
      </w:r>
      <w:hyperlink r:id="rId116">
        <w:r>
          <w:rPr>
            <w:rStyle w:val="Hyperlink"/>
          </w:rPr>
          <w:t xml:space="preserve">https://doi.org/10.1002/2016GL069121</w:t>
        </w:r>
      </w:hyperlink>
      <w:r>
        <w:t xml:space="preserve">.</w:t>
      </w:r>
    </w:p>
    <w:bookmarkEnd w:id="117"/>
    <w:bookmarkStart w:id="118" w:name="ref-fuka2014ecohydrology"/>
    <w:p>
      <w:pPr>
        <w:pStyle w:val="Bibliography"/>
      </w:pPr>
      <w:r>
        <w:t xml:space="preserve">Fuka, DR et al. 2014.</w:t>
      </w:r>
      <w:r>
        <w:t xml:space="preserve"> </w:t>
      </w:r>
      <w:r>
        <w:t xml:space="preserve">“EcoHydRology: A Community Modeling Foundation for Eco-Hydrology.”</w:t>
      </w:r>
      <w:r>
        <w:t xml:space="preserve"> </w:t>
      </w:r>
      <w:r>
        <w:rPr>
          <w:i/>
          <w:iCs/>
        </w:rPr>
        <w:t xml:space="preserve">R Package Version 0.4</w:t>
      </w:r>
      <w:r>
        <w:t xml:space="preserve"> </w:t>
      </w:r>
      <w:r>
        <w:t xml:space="preserve">12.</w:t>
      </w:r>
    </w:p>
    <w:bookmarkEnd w:id="118"/>
    <w:bookmarkStart w:id="120" w:name="ref-gonzales2009"/>
    <w:p>
      <w:pPr>
        <w:pStyle w:val="Bibliography"/>
      </w:pPr>
      <w:r>
        <w:t xml:space="preserve">Gonzales, A. L. et al. 2009.</w:t>
      </w:r>
      <w:r>
        <w:t xml:space="preserve"> </w:t>
      </w:r>
      <w:r>
        <w:t xml:space="preserve">“Comparison of Different Base Flow Separation Methods in a Lowland Catchment.”</w:t>
      </w:r>
      <w:r>
        <w:t xml:space="preserve"> </w:t>
      </w:r>
      <w:r>
        <w:rPr>
          <w:i/>
          <w:iCs/>
        </w:rPr>
        <w:t xml:space="preserve">Hydrology and Earth System Sciences</w:t>
      </w:r>
      <w:r>
        <w:t xml:space="preserve"> </w:t>
      </w:r>
      <w:r>
        <w:t xml:space="preserve">13 (11): 2055–68.</w:t>
      </w:r>
      <w:r>
        <w:t xml:space="preserve"> </w:t>
      </w:r>
      <w:hyperlink r:id="rId119">
        <w:r>
          <w:rPr>
            <w:rStyle w:val="Hyperlink"/>
          </w:rPr>
          <w:t xml:space="preserve">https://doi.org/10.5194/hess-13-2055-2009</w:t>
        </w:r>
      </w:hyperlink>
      <w:r>
        <w:t xml:space="preserve">.</w:t>
      </w:r>
    </w:p>
    <w:bookmarkEnd w:id="120"/>
    <w:bookmarkStart w:id="122" w:name="ref-MK_Hamed1998"/>
    <w:p>
      <w:pPr>
        <w:pStyle w:val="Bibliography"/>
      </w:pPr>
      <w:r>
        <w:t xml:space="preserve">Hamed, Khaled H., and A. Rao. 1998.</w:t>
      </w:r>
      <w:r>
        <w:t xml:space="preserve"> </w:t>
      </w:r>
      <w:r>
        <w:t xml:space="preserve">“A Modified Mann-Kendall Trend Test for Autocorrelated Data.”</w:t>
      </w:r>
      <w:r>
        <w:t xml:space="preserve"> </w:t>
      </w:r>
      <w:r>
        <w:rPr>
          <w:i/>
          <w:iCs/>
        </w:rPr>
        <w:t xml:space="preserve">Journal of Hydrology</w:t>
      </w:r>
      <w:r>
        <w:t xml:space="preserve"> </w:t>
      </w:r>
      <w:r>
        <w:t xml:space="preserve">204 (1): 182–96. https://doi.org/</w:t>
      </w:r>
      <w:hyperlink r:id="rId121">
        <w:r>
          <w:rPr>
            <w:rStyle w:val="Hyperlink"/>
          </w:rPr>
          <w:t xml:space="preserve">https://doi.org/10.1016/S0022-1694(97)00125-X</w:t>
        </w:r>
      </w:hyperlink>
      <w:r>
        <w:t xml:space="preserve">.</w:t>
      </w:r>
    </w:p>
    <w:bookmarkEnd w:id="122"/>
    <w:bookmarkStart w:id="123" w:name="ref-instituteofhydrology1980"/>
    <w:p>
      <w:pPr>
        <w:pStyle w:val="Bibliography"/>
      </w:pPr>
      <w:r>
        <w:t xml:space="preserve">Hydrology, Institute of. 1980.</w:t>
      </w:r>
      <w:r>
        <w:t xml:space="preserve"> </w:t>
      </w:r>
      <w:r>
        <w:t xml:space="preserve">“Low Flow Studies Report 3 Catchment Characteristic Estimation Manual.”</w:t>
      </w:r>
      <w:r>
        <w:t xml:space="preserve"> </w:t>
      </w:r>
      <w:r>
        <w:t xml:space="preserve">Institute of Hydrology.</w:t>
      </w:r>
    </w:p>
    <w:bookmarkEnd w:id="123"/>
    <w:bookmarkStart w:id="125" w:name="ref-iucn-drylands-2019"/>
    <w:p>
      <w:pPr>
        <w:pStyle w:val="Bibliography"/>
      </w:pPr>
      <w:r>
        <w:t xml:space="preserve">IUCN. 2019.</w:t>
      </w:r>
      <w:r>
        <w:t xml:space="preserve"> </w:t>
      </w:r>
      <w:r>
        <w:t xml:space="preserve">“Drylands and Climate Change.”</w:t>
      </w:r>
      <w:r>
        <w:t xml:space="preserve"> </w:t>
      </w:r>
      <w:hyperlink r:id="rId124">
        <w:r>
          <w:rPr>
            <w:rStyle w:val="Hyperlink"/>
          </w:rPr>
          <w:t xml:space="preserve">https://www.iucn.org/resources/issues-brief/drylands-and-climate-change</w:t>
        </w:r>
      </w:hyperlink>
      <w:r>
        <w:t xml:space="preserve">.</w:t>
      </w:r>
    </w:p>
    <w:bookmarkEnd w:id="125"/>
    <w:bookmarkStart w:id="126" w:name="ref-kendall1970"/>
    <w:p>
      <w:pPr>
        <w:pStyle w:val="Bibliography"/>
      </w:pPr>
      <w:r>
        <w:t xml:space="preserve">Kendall, Maurice G. 1970.</w:t>
      </w:r>
      <w:r>
        <w:t xml:space="preserve"> </w:t>
      </w:r>
      <w:r>
        <w:rPr>
          <w:i/>
          <w:iCs/>
        </w:rPr>
        <w:t xml:space="preserve">Rank Correlation Methods</w:t>
      </w:r>
      <w:r>
        <w:t xml:space="preserve">. 4th ed. London: Griffin.</w:t>
      </w:r>
    </w:p>
    <w:bookmarkEnd w:id="126"/>
    <w:bookmarkStart w:id="128" w:name="ref-krabbenhoft-2022"/>
    <w:p>
      <w:pPr>
        <w:pStyle w:val="Bibliography"/>
      </w:pPr>
      <w:r>
        <w:t xml:space="preserve">Krabbenhoft, Corey A., George H. Allen, Peirong Lin, Sarah E. Godsey, Daniel C. Allen, Ryan M. Burrows, Amanda G. DelVecchia, et al. 2022.</w:t>
      </w:r>
      <w:r>
        <w:t xml:space="preserve"> </w:t>
      </w:r>
      <w:r>
        <w:t xml:space="preserve">“</w:t>
      </w:r>
      <w:r>
        <w:t xml:space="preserve">Assessing placement bias of the global river gauge network</w:t>
      </w:r>
      <w:r>
        <w:t xml:space="preserve">.”</w:t>
      </w:r>
      <w:r>
        <w:t xml:space="preserve"> </w:t>
      </w:r>
      <w:r>
        <w:rPr>
          <w:i/>
          <w:iCs/>
        </w:rPr>
        <w:t xml:space="preserve">Nature Sustainability</w:t>
      </w:r>
      <w:r>
        <w:t xml:space="preserve"> </w:t>
      </w:r>
      <w:r>
        <w:t xml:space="preserve">5 (7): 586–92.</w:t>
      </w:r>
      <w:r>
        <w:t xml:space="preserve"> </w:t>
      </w:r>
      <w:hyperlink r:id="rId127">
        <w:r>
          <w:rPr>
            <w:rStyle w:val="Hyperlink"/>
          </w:rPr>
          <w:t xml:space="preserve">https://doi.org/10.1038/s41893-022-00873-0</w:t>
        </w:r>
      </w:hyperlink>
      <w:r>
        <w:t xml:space="preserve">.</w:t>
      </w:r>
    </w:p>
    <w:bookmarkEnd w:id="128"/>
    <w:bookmarkStart w:id="129" w:name="ref-epa_AZephemeral"/>
    <w:p>
      <w:pPr>
        <w:pStyle w:val="Bibliography"/>
      </w:pPr>
      <w:r>
        <w:t xml:space="preserve">Levick, Lainie R. et al. 2008.</w:t>
      </w:r>
      <w:r>
        <w:t xml:space="preserve"> </w:t>
      </w:r>
      <w:r>
        <w:t xml:space="preserve">“</w:t>
      </w:r>
      <w:r>
        <w:t xml:space="preserve">The ecological and hydrological significance of ephemeral and intermittent streams in the arid and semi-arid American Southwest</w:t>
      </w:r>
      <w:r>
        <w:t xml:space="preserve">.”</w:t>
      </w:r>
      <w:r>
        <w:t xml:space="preserve"> </w:t>
      </w:r>
      <w:r>
        <w:rPr>
          <w:i/>
          <w:iCs/>
        </w:rPr>
        <w:t xml:space="preserve">U.S. Environmental Protection Agency and USDA/ARS Southwest Watershed Research Center</w:t>
      </w:r>
      <w:r>
        <w:t xml:space="preserve">, no. EPA/600/R-08/134 (January).</w:t>
      </w:r>
    </w:p>
    <w:bookmarkEnd w:id="129"/>
    <w:bookmarkStart w:id="131" w:name="ref-SHAP_values"/>
    <w:p>
      <w:pPr>
        <w:pStyle w:val="Bibliography"/>
      </w:pPr>
      <w:r>
        <w:t xml:space="preserve">Lundberg, Scott M, and Su-In Lee. 2017.</w:t>
      </w:r>
      <w:r>
        <w:t xml:space="preserve"> </w:t>
      </w:r>
      <w:r>
        <w:t xml:space="preserve">“A Unified Approach to Interpreting Model Predictions.”</w:t>
      </w:r>
      <w:r>
        <w:t xml:space="preserve"> </w:t>
      </w:r>
      <w:r>
        <w:t xml:space="preserve">Edited by I. Guyon, U. Von Luxburg, S. Bengio, H. Wallach, R. Fergus, S. Vishwanathan, and R. Garnett 30.</w:t>
      </w:r>
      <w:r>
        <w:t xml:space="preserve"> </w:t>
      </w:r>
      <w:hyperlink r:id="rId130">
        <w:r>
          <w:rPr>
            <w:rStyle w:val="Hyperlink"/>
          </w:rPr>
          <w:t xml:space="preserve">https://proceedings.neurips.cc/paper_files/paper/2017/file/8a20a8621978632d76c43dfd28b67767-Paper.pdf</w:t>
        </w:r>
      </w:hyperlink>
      <w:r>
        <w:t xml:space="preserve">.</w:t>
      </w:r>
    </w:p>
    <w:bookmarkEnd w:id="131"/>
    <w:bookmarkStart w:id="132" w:name="ref-lyne1979"/>
    <w:p>
      <w:pPr>
        <w:pStyle w:val="Bibliography"/>
      </w:pPr>
      <w:r>
        <w:t xml:space="preserve">Lyne, V et al. 1979.</w:t>
      </w:r>
      <w:r>
        <w:t xml:space="preserve"> </w:t>
      </w:r>
      <w:r>
        <w:t xml:space="preserve">“Institute of Engineers Australia National Conference.”</w:t>
      </w:r>
      <w:r>
        <w:t xml:space="preserve"> </w:t>
      </w:r>
      <w:r>
        <w:t xml:space="preserve">In, 79:89–93. Barton, Australia: Institute of Engineers Australia.</w:t>
      </w:r>
    </w:p>
    <w:bookmarkEnd w:id="132"/>
    <w:bookmarkStart w:id="133" w:name="ref-mann1945nonparametric"/>
    <w:p>
      <w:pPr>
        <w:pStyle w:val="Bibliography"/>
      </w:pPr>
      <w:r>
        <w:t xml:space="preserve">Mann, Henry B. 1945.</w:t>
      </w:r>
      <w:r>
        <w:t xml:space="preserve"> </w:t>
      </w:r>
      <w:r>
        <w:t xml:space="preserve">“Nonparametric Tests Against Trend.”</w:t>
      </w:r>
      <w:r>
        <w:t xml:space="preserve"> </w:t>
      </w:r>
      <w:r>
        <w:rPr>
          <w:i/>
          <w:iCs/>
        </w:rPr>
        <w:t xml:space="preserve">Econometrica: Journal of the Econometric Society</w:t>
      </w:r>
      <w:r>
        <w:t xml:space="preserve">, 245–59.</w:t>
      </w:r>
    </w:p>
    <w:bookmarkEnd w:id="133"/>
    <w:bookmarkStart w:id="135" w:name="ref-flood-control2020"/>
    <w:p>
      <w:pPr>
        <w:pStyle w:val="Bibliography"/>
      </w:pPr>
      <w:r>
        <w:t xml:space="preserve">Maricopa County, Flood Control District of. 2020.</w:t>
      </w:r>
      <w:r>
        <w:t xml:space="preserve"> </w:t>
      </w:r>
      <w:r>
        <w:t xml:space="preserve">“</w:t>
      </w:r>
      <w:r>
        <w:t xml:space="preserve">Flood Warning Program - Program Review</w:t>
      </w:r>
      <w:r>
        <w:t xml:space="preserve">.”</w:t>
      </w:r>
      <w:r>
        <w:t xml:space="preserve"> </w:t>
      </w:r>
      <w:r>
        <w:t xml:space="preserve">Maricopa County Flood Control District; Maricopa County Flood Control District.</w:t>
      </w:r>
      <w:r>
        <w:t xml:space="preserve"> </w:t>
      </w:r>
      <w:hyperlink r:id="rId134">
        <w:r>
          <w:rPr>
            <w:rStyle w:val="Hyperlink"/>
          </w:rPr>
          <w:t xml:space="preserve">https://alert.fcd.maricopa.gov/alert/FWP_report_FINAL.pdf</w:t>
        </w:r>
      </w:hyperlink>
      <w:r>
        <w:t xml:space="preserve">.</w:t>
      </w:r>
    </w:p>
    <w:bookmarkEnd w:id="135"/>
    <w:bookmarkStart w:id="137" w:name="ref-nathan1990"/>
    <w:p>
      <w:pPr>
        <w:pStyle w:val="Bibliography"/>
      </w:pPr>
      <w:r>
        <w:t xml:space="preserve">Nathan, R. J. et al. 1990.</w:t>
      </w:r>
      <w:r>
        <w:t xml:space="preserve"> </w:t>
      </w:r>
      <w:r>
        <w:t xml:space="preserve">“Evaluation of Automated Techniques for Base Flow and Recession Analyses.”</w:t>
      </w:r>
      <w:r>
        <w:t xml:space="preserve"> </w:t>
      </w:r>
      <w:r>
        <w:rPr>
          <w:i/>
          <w:iCs/>
        </w:rPr>
        <w:t xml:space="preserve">Water Resources Research</w:t>
      </w:r>
      <w:r>
        <w:t xml:space="preserve"> </w:t>
      </w:r>
      <w:r>
        <w:t xml:space="preserve">26 (7): 1465–73.</w:t>
      </w:r>
      <w:r>
        <w:t xml:space="preserve"> </w:t>
      </w:r>
      <w:hyperlink r:id="rId136">
        <w:r>
          <w:rPr>
            <w:rStyle w:val="Hyperlink"/>
          </w:rPr>
          <w:t xml:space="preserve">https://doi.org/10.1029/WR026i007p01465</w:t>
        </w:r>
      </w:hyperlink>
      <w:r>
        <w:t xml:space="preserve">.</w:t>
      </w:r>
    </w:p>
    <w:bookmarkEnd w:id="137"/>
    <w:bookmarkStart w:id="139" w:name="ref-neff2005"/>
    <w:p>
      <w:pPr>
        <w:pStyle w:val="Bibliography"/>
      </w:pPr>
      <w:r>
        <w:t xml:space="preserve">Neff, B. P. et al. 2005.</w:t>
      </w:r>
      <w:r>
        <w:t xml:space="preserve"> </w:t>
      </w:r>
      <w:r>
        <w:t xml:space="preserve">“Base Flow in the Great Lakes Basin.”</w:t>
      </w:r>
      <w:r>
        <w:t xml:space="preserve"> </w:t>
      </w:r>
      <w:r>
        <w:t xml:space="preserve">Report 2005-5217. Reston, VA: USGS.</w:t>
      </w:r>
      <w:r>
        <w:t xml:space="preserve"> </w:t>
      </w:r>
      <w:hyperlink r:id="rId138">
        <w:r>
          <w:rPr>
            <w:rStyle w:val="Hyperlink"/>
          </w:rPr>
          <w:t xml:space="preserve">https://doi.org/10.3133/sir20055217</w:t>
        </w:r>
      </w:hyperlink>
      <w:r>
        <w:t xml:space="preserve">.</w:t>
      </w:r>
    </w:p>
    <w:bookmarkEnd w:id="139"/>
    <w:bookmarkStart w:id="140" w:name="ref-odonnell2016"/>
    <w:p>
      <w:pPr>
        <w:pStyle w:val="Bibliography"/>
      </w:pPr>
      <w:r>
        <w:t xml:space="preserve">O’Donnell, Frances C et al. 2016.</w:t>
      </w:r>
      <w:r>
        <w:t xml:space="preserve"> </w:t>
      </w:r>
      <w:r>
        <w:t xml:space="preserve">“12th Biennial Conference of Research on the Colorado Plateau.”</w:t>
      </w:r>
      <w:r>
        <w:t xml:space="preserve"> </w:t>
      </w:r>
      <w:r>
        <w:t xml:space="preserve">In.</w:t>
      </w:r>
    </w:p>
    <w:bookmarkEnd w:id="140"/>
    <w:bookmarkStart w:id="142" w:name="ref-reitz2017"/>
    <w:p>
      <w:pPr>
        <w:pStyle w:val="Bibliography"/>
      </w:pPr>
      <w:r>
        <w:t xml:space="preserve">Reitz, M. et al. 2017.</w:t>
      </w:r>
      <w:r>
        <w:t xml:space="preserve"> </w:t>
      </w:r>
      <w:r>
        <w:t xml:space="preserve">“Annual Estimates of Recharge, Quick</w:t>
      </w:r>
      <w:r>
        <w:t xml:space="preserve">-</w:t>
      </w:r>
      <w:r>
        <w:t xml:space="preserve">Flow Runoff, and Evapotranspiration for the Contiguous US Using Empirical Regression Equations.”</w:t>
      </w:r>
      <w:r>
        <w:t xml:space="preserve"> </w:t>
      </w:r>
      <w:r>
        <w:rPr>
          <w:i/>
          <w:iCs/>
        </w:rPr>
        <w:t xml:space="preserve">JAWRA Journal of the American Water Resources Association</w:t>
      </w:r>
      <w:r>
        <w:t xml:space="preserve"> </w:t>
      </w:r>
      <w:r>
        <w:t xml:space="preserve">53 (4): 961–83.</w:t>
      </w:r>
      <w:r>
        <w:t xml:space="preserve"> </w:t>
      </w:r>
      <w:hyperlink r:id="rId141">
        <w:r>
          <w:rPr>
            <w:rStyle w:val="Hyperlink"/>
          </w:rPr>
          <w:t xml:space="preserve">https://doi.org/10.1111/1752-1688.12546</w:t>
        </w:r>
      </w:hyperlink>
      <w:r>
        <w:t xml:space="preserve">.</w:t>
      </w:r>
    </w:p>
    <w:bookmarkEnd w:id="142"/>
    <w:bookmarkStart w:id="144" w:name="ref-Rozos2021Machine"/>
    <w:p>
      <w:pPr>
        <w:pStyle w:val="Bibliography"/>
      </w:pPr>
      <w:r>
        <w:t xml:space="preserve">Rozos, E. et al. 2021.</w:t>
      </w:r>
      <w:r>
        <w:t xml:space="preserve"> </w:t>
      </w:r>
      <w:r>
        <w:t xml:space="preserve">“Machine Learning in Assessing the Performance of Hydrological Models.”</w:t>
      </w:r>
      <w:r>
        <w:t xml:space="preserve"> </w:t>
      </w:r>
      <w:r>
        <w:rPr>
          <w:i/>
          <w:iCs/>
        </w:rPr>
        <w:t xml:space="preserve">Hydrology</w:t>
      </w:r>
      <w:r>
        <w:t xml:space="preserve">.</w:t>
      </w:r>
      <w:r>
        <w:t xml:space="preserve"> </w:t>
      </w:r>
      <w:hyperlink r:id="rId143">
        <w:r>
          <w:rPr>
            <w:rStyle w:val="Hyperlink"/>
          </w:rPr>
          <w:t xml:space="preserve">https://doi.org/10.3390/hydrology9010005</w:t>
        </w:r>
      </w:hyperlink>
      <w:r>
        <w:t xml:space="preserve">.</w:t>
      </w:r>
    </w:p>
    <w:bookmarkEnd w:id="144"/>
    <w:bookmarkStart w:id="146" w:name="ref-santhi2008"/>
    <w:p>
      <w:pPr>
        <w:pStyle w:val="Bibliography"/>
      </w:pPr>
      <w:r>
        <w:t xml:space="preserve">Santhi, C. et al. 2008.</w:t>
      </w:r>
      <w:r>
        <w:t xml:space="preserve"> </w:t>
      </w:r>
      <w:r>
        <w:t xml:space="preserve">“Regional Estimation of Base Flow for the Conterminous United States by Hydrologic Landscape Regions.”</w:t>
      </w:r>
      <w:r>
        <w:t xml:space="preserve"> </w:t>
      </w:r>
      <w:r>
        <w:rPr>
          <w:i/>
          <w:iCs/>
        </w:rPr>
        <w:t xml:space="preserve">Journal of Hydrology</w:t>
      </w:r>
      <w:r>
        <w:t xml:space="preserve"> </w:t>
      </w:r>
      <w:r>
        <w:t xml:space="preserve">351 (1-2): 139–53.</w:t>
      </w:r>
      <w:r>
        <w:t xml:space="preserve"> </w:t>
      </w:r>
      <w:hyperlink r:id="rId145">
        <w:r>
          <w:rPr>
            <w:rStyle w:val="Hyperlink"/>
          </w:rPr>
          <w:t xml:space="preserve">https://doi.org/10.1016/j.jhydrol.2007.12.018</w:t>
        </w:r>
      </w:hyperlink>
      <w:r>
        <w:t xml:space="preserve">.</w:t>
      </w:r>
    </w:p>
    <w:bookmarkEnd w:id="146"/>
    <w:bookmarkStart w:id="148" w:name="ref-scanlon2006"/>
    <w:p>
      <w:pPr>
        <w:pStyle w:val="Bibliography"/>
      </w:pPr>
      <w:r>
        <w:t xml:space="preserve">Scanlon, Bridget R. et al. 2006.</w:t>
      </w:r>
      <w:r>
        <w:t xml:space="preserve"> </w:t>
      </w:r>
      <w:r>
        <w:t xml:space="preserve">“Global Synthesis of Groundwater Recharge in Semiarid and Arid Regions.”</w:t>
      </w:r>
      <w:r>
        <w:t xml:space="preserve"> </w:t>
      </w:r>
      <w:r>
        <w:rPr>
          <w:i/>
          <w:iCs/>
        </w:rPr>
        <w:t xml:space="preserve">Hydrological Processes</w:t>
      </w:r>
      <w:r>
        <w:t xml:space="preserve"> </w:t>
      </w:r>
      <w:r>
        <w:t xml:space="preserve">20 (15): 3335–70.</w:t>
      </w:r>
      <w:r>
        <w:t xml:space="preserve"> </w:t>
      </w:r>
      <w:hyperlink r:id="rId147">
        <w:r>
          <w:rPr>
            <w:rStyle w:val="Hyperlink"/>
          </w:rPr>
          <w:t xml:space="preserve">https://doi.org/10.1002/hyp.6335</w:t>
        </w:r>
      </w:hyperlink>
      <w:r>
        <w:t xml:space="preserve">.</w:t>
      </w:r>
    </w:p>
    <w:bookmarkEnd w:id="148"/>
    <w:bookmarkStart w:id="150" w:name="ref-mopex_2006"/>
    <w:p>
      <w:pPr>
        <w:pStyle w:val="Bibliography"/>
      </w:pPr>
      <w:r>
        <w:t xml:space="preserve">Schaake, J, S Cong, and Q Duan. 2006.</w:t>
      </w:r>
      <w:r>
        <w:t xml:space="preserve"> </w:t>
      </w:r>
      <w:r>
        <w:t xml:space="preserve">“U.s. MOPEX DATA SET.”</w:t>
      </w:r>
      <w:r>
        <w:t xml:space="preserve"> </w:t>
      </w:r>
      <w:r>
        <w:rPr>
          <w:i/>
          <w:iCs/>
        </w:rPr>
        <w:t xml:space="preserve">IAHS Publication Series, Vol. 307, N/A, November 1, 2006, Pp. 9-28</w:t>
      </w:r>
      <w:r>
        <w:t xml:space="preserve">, May.</w:t>
      </w:r>
      <w:r>
        <w:t xml:space="preserve"> </w:t>
      </w:r>
      <w:hyperlink r:id="rId149">
        <w:r>
          <w:rPr>
            <w:rStyle w:val="Hyperlink"/>
          </w:rPr>
          <w:t xml:space="preserve">https://www.osti.gov/biblio/899413</w:t>
        </w:r>
      </w:hyperlink>
      <w:r>
        <w:t xml:space="preserve">.</w:t>
      </w:r>
    </w:p>
    <w:bookmarkEnd w:id="150"/>
    <w:bookmarkStart w:id="152" w:name="ref-schmidt_ML_2020"/>
    <w:p>
      <w:pPr>
        <w:pStyle w:val="Bibliography"/>
      </w:pPr>
      <w:r>
        <w:t xml:space="preserve">Schmidt, Lennart et al. 2020.</w:t>
      </w:r>
      <w:r>
        <w:t xml:space="preserve"> </w:t>
      </w:r>
      <w:r>
        <w:t xml:space="preserve">“Challenges in Applying Machine Learning Models for Hydrological Inference: A Case Study for Flooding Events Across Germany.”</w:t>
      </w:r>
      <w:r>
        <w:t xml:space="preserve"> </w:t>
      </w:r>
      <w:r>
        <w:rPr>
          <w:i/>
          <w:iCs/>
        </w:rPr>
        <w:t xml:space="preserve">Water Resources Research</w:t>
      </w:r>
      <w:r>
        <w:t xml:space="preserve"> </w:t>
      </w:r>
      <w:r>
        <w:t xml:space="preserve">56 (5): e2019WR025924. https://doi.org/</w:t>
      </w:r>
      <w:hyperlink r:id="rId151">
        <w:r>
          <w:rPr>
            <w:rStyle w:val="Hyperlink"/>
          </w:rPr>
          <w:t xml:space="preserve">https://doi.org/10.1029/2019WR025924</w:t>
        </w:r>
      </w:hyperlink>
      <w:r>
        <w:t xml:space="preserve">.</w:t>
      </w:r>
    </w:p>
    <w:bookmarkEnd w:id="152"/>
    <w:bookmarkStart w:id="154" w:name="ref-sheppard2002"/>
    <w:p>
      <w:pPr>
        <w:pStyle w:val="Bibliography"/>
      </w:pPr>
      <w:r>
        <w:t xml:space="preserve">Sheppard, Pr et al. 2002.</w:t>
      </w:r>
      <w:r>
        <w:t xml:space="preserve"> </w:t>
      </w:r>
      <w:r>
        <w:t xml:space="preserve">“The Climate of the US Southwest.”</w:t>
      </w:r>
      <w:r>
        <w:t xml:space="preserve"> </w:t>
      </w:r>
      <w:r>
        <w:rPr>
          <w:i/>
          <w:iCs/>
        </w:rPr>
        <w:t xml:space="preserve">Climate Research</w:t>
      </w:r>
      <w:r>
        <w:t xml:space="preserve"> </w:t>
      </w:r>
      <w:r>
        <w:t xml:space="preserve">21: 219–38.</w:t>
      </w:r>
      <w:r>
        <w:t xml:space="preserve"> </w:t>
      </w:r>
      <w:hyperlink r:id="rId153">
        <w:r>
          <w:rPr>
            <w:rStyle w:val="Hyperlink"/>
          </w:rPr>
          <w:t xml:space="preserve">https://doi.org/10.3354/cr021219</w:t>
        </w:r>
      </w:hyperlink>
      <w:r>
        <w:t xml:space="preserve">.</w:t>
      </w:r>
    </w:p>
    <w:bookmarkEnd w:id="154"/>
    <w:bookmarkStart w:id="156" w:name="ref-singh2018"/>
    <w:p>
      <w:pPr>
        <w:pStyle w:val="Bibliography"/>
      </w:pPr>
      <w:r>
        <w:t xml:space="preserve">Singh, Shailesh Kumar et al. 2018.</w:t>
      </w:r>
      <w:r>
        <w:t xml:space="preserve"> </w:t>
      </w:r>
      <w:r>
        <w:t xml:space="preserve">“Towards Baseflow Index Characterisation at National Scale in New Zealand.”</w:t>
      </w:r>
      <w:r>
        <w:t xml:space="preserve"> </w:t>
      </w:r>
      <w:r>
        <w:rPr>
          <w:i/>
          <w:iCs/>
        </w:rPr>
        <w:t xml:space="preserve">Journal of Hydrology</w:t>
      </w:r>
      <w:r>
        <w:t xml:space="preserve"> </w:t>
      </w:r>
      <w:r>
        <w:t xml:space="preserve">568: 646–57.</w:t>
      </w:r>
      <w:r>
        <w:t xml:space="preserve"> </w:t>
      </w:r>
      <w:hyperlink r:id="rId155">
        <w:r>
          <w:rPr>
            <w:rStyle w:val="Hyperlink"/>
          </w:rPr>
          <w:t xml:space="preserve">https://doi.org/10.1016/j.jhydrol.2018.11.025</w:t>
        </w:r>
      </w:hyperlink>
      <w:r>
        <w:t xml:space="preserve">.</w:t>
      </w:r>
    </w:p>
    <w:bookmarkEnd w:id="156"/>
    <w:bookmarkStart w:id="158" w:name="ref-sloto1996"/>
    <w:p>
      <w:pPr>
        <w:pStyle w:val="Bibliography"/>
      </w:pPr>
      <w:r>
        <w:t xml:space="preserve">Sloto, Ronald et al. 1996.</w:t>
      </w:r>
      <w:r>
        <w:t xml:space="preserve"> </w:t>
      </w:r>
      <w:r>
        <w:t xml:space="preserve">“HYSEP: A Computer Program for Streamflow Hydrograph Separation and Analysis.”</w:t>
      </w:r>
      <w:r>
        <w:t xml:space="preserve"> </w:t>
      </w:r>
      <w:r>
        <w:t xml:space="preserve">96-4040.</w:t>
      </w:r>
      <w:r>
        <w:t xml:space="preserve"> </w:t>
      </w:r>
      <w:r>
        <w:t xml:space="preserve">USGS</w:t>
      </w:r>
      <w:r>
        <w:t xml:space="preserve">.</w:t>
      </w:r>
      <w:r>
        <w:t xml:space="preserve"> </w:t>
      </w:r>
      <w:hyperlink r:id="rId157">
        <w:r>
          <w:rPr>
            <w:rStyle w:val="Hyperlink"/>
          </w:rPr>
          <w:t xml:space="preserve">https://doi.org/10.3133/wri964040</w:t>
        </w:r>
      </w:hyperlink>
      <w:r>
        <w:t xml:space="preserve">.</w:t>
      </w:r>
    </w:p>
    <w:bookmarkEnd w:id="158"/>
    <w:bookmarkStart w:id="160" w:name="ref-tan2020"/>
    <w:p>
      <w:pPr>
        <w:pStyle w:val="Bibliography"/>
      </w:pPr>
      <w:r>
        <w:t xml:space="preserve">Tan, Xuejin et al. 2020.</w:t>
      </w:r>
      <w:r>
        <w:t xml:space="preserve"> </w:t>
      </w:r>
      <w:r>
        <w:t xml:space="preserve">“Global Changes in Baseflow Under the Impacts of Changing Climate and Vegetation.”</w:t>
      </w:r>
      <w:r>
        <w:t xml:space="preserve"> </w:t>
      </w:r>
      <w:r>
        <w:rPr>
          <w:i/>
          <w:iCs/>
        </w:rPr>
        <w:t xml:space="preserve">Water Resources Research</w:t>
      </w:r>
      <w:r>
        <w:t xml:space="preserve"> </w:t>
      </w:r>
      <w:r>
        <w:t xml:space="preserve">56 (9): e2020WR027349.</w:t>
      </w:r>
      <w:r>
        <w:t xml:space="preserve"> </w:t>
      </w:r>
      <w:hyperlink r:id="rId159">
        <w:r>
          <w:rPr>
            <w:rStyle w:val="Hyperlink"/>
          </w:rPr>
          <w:t xml:space="preserve">https://doi.org/10.1029/2020WR027349</w:t>
        </w:r>
      </w:hyperlink>
      <w:r>
        <w:t xml:space="preserve">.</w:t>
      </w:r>
    </w:p>
    <w:bookmarkEnd w:id="160"/>
    <w:bookmarkStart w:id="162" w:name="ref-taylor2013"/>
    <w:p>
      <w:pPr>
        <w:pStyle w:val="Bibliography"/>
      </w:pPr>
      <w:r>
        <w:t xml:space="preserve">Taylor, Richard G. et al. 2013.</w:t>
      </w:r>
      <w:r>
        <w:t xml:space="preserve"> </w:t>
      </w:r>
      <w:r>
        <w:t xml:space="preserve">“Ground Water and Climate Change.”</w:t>
      </w:r>
      <w:r>
        <w:t xml:space="preserve"> </w:t>
      </w:r>
      <w:r>
        <w:rPr>
          <w:i/>
          <w:iCs/>
        </w:rPr>
        <w:t xml:space="preserve">Nature Climate Change</w:t>
      </w:r>
      <w:r>
        <w:t xml:space="preserve"> </w:t>
      </w:r>
      <w:r>
        <w:t xml:space="preserve">3 (4): 322–29.</w:t>
      </w:r>
      <w:r>
        <w:t xml:space="preserve"> </w:t>
      </w:r>
      <w:hyperlink r:id="rId161">
        <w:r>
          <w:rPr>
            <w:rStyle w:val="Hyperlink"/>
          </w:rPr>
          <w:t xml:space="preserve">https://doi.org/10.1038/nclimate1744</w:t>
        </w:r>
      </w:hyperlink>
      <w:r>
        <w:t xml:space="preserve">.</w:t>
      </w:r>
    </w:p>
    <w:bookmarkEnd w:id="162"/>
    <w:bookmarkStart w:id="163" w:name="ref-nrcs2009"/>
    <w:p>
      <w:pPr>
        <w:pStyle w:val="Bibliography"/>
      </w:pPr>
      <w:r>
        <w:t xml:space="preserve">USDA. 2009.</w:t>
      </w:r>
      <w:r>
        <w:t xml:space="preserve"> </w:t>
      </w:r>
      <w:r>
        <w:rPr>
          <w:i/>
          <w:iCs/>
        </w:rPr>
        <w:t xml:space="preserve">Part 630 Hydrology National Engineering Handbook, Chapter 7: Hydrologic Soil Groups</w:t>
      </w:r>
      <w:r>
        <w:t xml:space="preserve">. USDA Natural Resources Conservation Service.</w:t>
      </w:r>
    </w:p>
    <w:bookmarkEnd w:id="163"/>
    <w:bookmarkStart w:id="165" w:name="ref-usgs2010"/>
    <w:p>
      <w:pPr>
        <w:pStyle w:val="Bibliography"/>
      </w:pPr>
      <w:r>
        <w:t xml:space="preserve">USGS. 2010.</w:t>
      </w:r>
      <w:r>
        <w:t xml:space="preserve"> </w:t>
      </w:r>
      <w:r>
        <w:t xml:space="preserve">“Water Resources Data for the United States Water Year 2007.”</w:t>
      </w:r>
      <w:r>
        <w:t xml:space="preserve"> </w:t>
      </w:r>
      <w:hyperlink r:id="rId164">
        <w:r>
          <w:rPr>
            <w:rStyle w:val="Hyperlink"/>
          </w:rPr>
          <w:t xml:space="preserve">http://wdr.water.usgs.gov/wy2007/search.jsp</w:t>
        </w:r>
      </w:hyperlink>
      <w:r>
        <w:t xml:space="preserve">.</w:t>
      </w:r>
    </w:p>
    <w:bookmarkEnd w:id="165"/>
    <w:bookmarkStart w:id="167" w:name="ref-usgs-glossary-2018"/>
    <w:p>
      <w:pPr>
        <w:pStyle w:val="Bibliography"/>
      </w:pPr>
      <w:r>
        <w:t xml:space="preserve">USGS. 2018.</w:t>
      </w:r>
      <w:r>
        <w:t xml:space="preserve"> </w:t>
      </w:r>
      <w:r>
        <w:t xml:space="preserve">“Water Science Glossary.”</w:t>
      </w:r>
      <w:r>
        <w:t xml:space="preserve"> </w:t>
      </w:r>
      <w:hyperlink r:id="rId166">
        <w:r>
          <w:rPr>
            <w:rStyle w:val="Hyperlink"/>
          </w:rPr>
          <w:t xml:space="preserve">https://www.usgs.gov/special-topics/water-science-school/science/water-science-glossary</w:t>
        </w:r>
      </w:hyperlink>
      <w:r>
        <w:t xml:space="preserve">.</w:t>
      </w:r>
    </w:p>
    <w:bookmarkEnd w:id="167"/>
    <w:bookmarkStart w:id="169" w:name="ref-winter2007"/>
    <w:p>
      <w:pPr>
        <w:pStyle w:val="Bibliography"/>
      </w:pPr>
      <w:r>
        <w:t xml:space="preserve">Winter, Thomas C. 2007.</w:t>
      </w:r>
      <w:r>
        <w:t xml:space="preserve"> </w:t>
      </w:r>
      <w:r>
        <w:t xml:space="preserve">“The Role of Ground Water in Generating Streamflow in Headwater Areas and in Maintaining Base Flow</w:t>
      </w:r>
      <w:r>
        <w:rPr>
          <w:vertAlign w:val="superscript"/>
        </w:rPr>
        <w:t xml:space="preserve">1</w:t>
      </w:r>
      <w:r>
        <w:t xml:space="preserve">.”</w:t>
      </w:r>
      <w:r>
        <w:t xml:space="preserve"> </w:t>
      </w:r>
      <w:r>
        <w:rPr>
          <w:i/>
          <w:iCs/>
        </w:rPr>
        <w:t xml:space="preserve">JAWRA Journal of the American Water Resources Association</w:t>
      </w:r>
      <w:r>
        <w:t xml:space="preserve"> </w:t>
      </w:r>
      <w:r>
        <w:t xml:space="preserve">43 (1): 15–25.</w:t>
      </w:r>
      <w:r>
        <w:t xml:space="preserve"> </w:t>
      </w:r>
      <w:hyperlink r:id="rId168">
        <w:r>
          <w:rPr>
            <w:rStyle w:val="Hyperlink"/>
          </w:rPr>
          <w:t xml:space="preserve">https://doi.org/10.1111/j.1752-1688.2007.00003.x</w:t>
        </w:r>
      </w:hyperlink>
      <w:r>
        <w:t xml:space="preserve">.</w:t>
      </w:r>
    </w:p>
    <w:bookmarkEnd w:id="169"/>
    <w:bookmarkStart w:id="171" w:name="ref-woodhouse_udall22"/>
    <w:p>
      <w:pPr>
        <w:pStyle w:val="Bibliography"/>
      </w:pPr>
      <w:r>
        <w:t xml:space="preserve">Woodhouse, Connie A. et al. 2022.</w:t>
      </w:r>
      <w:r>
        <w:t xml:space="preserve"> </w:t>
      </w:r>
      <w:r>
        <w:t xml:space="preserve">“Upper</w:t>
      </w:r>
      <w:r>
        <w:t xml:space="preserve"> </w:t>
      </w:r>
      <w:r>
        <w:t xml:space="preserve">Gila</w:t>
      </w:r>
      <w:r>
        <w:t xml:space="preserve">,</w:t>
      </w:r>
      <w:r>
        <w:t xml:space="preserve"> </w:t>
      </w:r>
      <w:r>
        <w:t xml:space="preserve">Salt</w:t>
      </w:r>
      <w:r>
        <w:t xml:space="preserve">, and</w:t>
      </w:r>
      <w:r>
        <w:t xml:space="preserve"> </w:t>
      </w:r>
      <w:r>
        <w:t xml:space="preserve">Verde Rivers</w:t>
      </w:r>
      <w:r>
        <w:t xml:space="preserve">:</w:t>
      </w:r>
      <w:r>
        <w:t xml:space="preserve"> </w:t>
      </w:r>
      <w:r>
        <w:t xml:space="preserve">Arid Land Rivers</w:t>
      </w:r>
      <w:r>
        <w:t xml:space="preserve"> </w:t>
      </w:r>
      <w:r>
        <w:t xml:space="preserve">in a</w:t>
      </w:r>
      <w:r>
        <w:t xml:space="preserve"> </w:t>
      </w:r>
      <w:r>
        <w:t xml:space="preserve">Changing Climate</w:t>
      </w:r>
      <w:r>
        <w:t xml:space="preserve">.”</w:t>
      </w:r>
      <w:r>
        <w:t xml:space="preserve"> </w:t>
      </w:r>
      <w:r>
        <w:rPr>
          <w:i/>
          <w:iCs/>
        </w:rPr>
        <w:t xml:space="preserve">Earth Interactions</w:t>
      </w:r>
      <w:r>
        <w:t xml:space="preserve"> </w:t>
      </w:r>
      <w:r>
        <w:t xml:space="preserve">26 (1): 1–14.</w:t>
      </w:r>
      <w:r>
        <w:t xml:space="preserve"> </w:t>
      </w:r>
      <w:hyperlink r:id="rId170">
        <w:r>
          <w:rPr>
            <w:rStyle w:val="Hyperlink"/>
          </w:rPr>
          <w:t xml:space="preserve">https://doi.org/10.1175/EI-D-21-0014.1</w:t>
        </w:r>
      </w:hyperlink>
      <w:r>
        <w:t xml:space="preserve">.</w:t>
      </w:r>
    </w:p>
    <w:bookmarkEnd w:id="171"/>
    <w:bookmarkStart w:id="173" w:name="ref-yao2018"/>
    <w:p>
      <w:pPr>
        <w:pStyle w:val="Bibliography"/>
      </w:pPr>
      <w:r>
        <w:t xml:space="preserve">Yao, Yingying et al. 2018.</w:t>
      </w:r>
      <w:r>
        <w:t xml:space="preserve"> </w:t>
      </w:r>
      <w:r>
        <w:t xml:space="preserve">“Role of Groundwater in the Dryland Ecohydrological System: A Case Study of the Heihe River Basin.”</w:t>
      </w:r>
      <w:r>
        <w:t xml:space="preserve"> </w:t>
      </w:r>
      <w:r>
        <w:rPr>
          <w:i/>
          <w:iCs/>
        </w:rPr>
        <w:t xml:space="preserve">Journal of Geophysical Research: Atmospheres</w:t>
      </w:r>
      <w:r>
        <w:t xml:space="preserve"> </w:t>
      </w:r>
      <w:r>
        <w:t xml:space="preserve">123 (13): 6760–76.</w:t>
      </w:r>
      <w:r>
        <w:t xml:space="preserve"> </w:t>
      </w:r>
      <w:hyperlink r:id="rId172">
        <w:r>
          <w:rPr>
            <w:rStyle w:val="Hyperlink"/>
          </w:rPr>
          <w:t xml:space="preserve">https://doi.org/10.1029/2018JD028432</w:t>
        </w:r>
      </w:hyperlink>
      <w:r>
        <w:t xml:space="preserve">.</w:t>
      </w:r>
    </w:p>
    <w:bookmarkEnd w:id="173"/>
    <w:bookmarkStart w:id="175" w:name="ref-zomer2022"/>
    <w:p>
      <w:pPr>
        <w:pStyle w:val="Bibliography"/>
      </w:pPr>
      <w:r>
        <w:t xml:space="preserve">Zomer, Robert J. et al. 2022.</w:t>
      </w:r>
      <w:r>
        <w:t xml:space="preserve"> </w:t>
      </w:r>
      <w:r>
        <w:t xml:space="preserve">“Version 3 of the Global Aridity Index and Potential Evapotranspiration Database.”</w:t>
      </w:r>
      <w:r>
        <w:t xml:space="preserve"> </w:t>
      </w:r>
      <w:r>
        <w:rPr>
          <w:i/>
          <w:iCs/>
        </w:rPr>
        <w:t xml:space="preserve">Scientific Data</w:t>
      </w:r>
      <w:r>
        <w:t xml:space="preserve"> </w:t>
      </w:r>
      <w:r>
        <w:t xml:space="preserve">9 (1): 409.</w:t>
      </w:r>
      <w:r>
        <w:t xml:space="preserve"> </w:t>
      </w:r>
      <w:hyperlink r:id="rId174">
        <w:r>
          <w:rPr>
            <w:rStyle w:val="Hyperlink"/>
          </w:rPr>
          <w:t xml:space="preserve">https://doi.org/10.1038/s41597-022-01493-1</w:t>
        </w:r>
      </w:hyperlink>
      <w:r>
        <w:t xml:space="preserve">.</w:t>
      </w:r>
    </w:p>
    <w:bookmarkEnd w:id="175"/>
    <w:bookmarkEnd w:id="176"/>
    <w:bookmarkEnd w:id="17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_rels/footnotes.xml.rels><?xml version="1.0" encoding="UTF-8"?><Relationships xmlns="http://schemas.openxmlformats.org/package/2006/relationships"><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dcterms:created xsi:type="dcterms:W3CDTF">2025-09-07T21:01:03Z</dcterms:created>
  <dcterms:modified xsi:type="dcterms:W3CDTF">2025-09-07T21:01:03Z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